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TransferBO 2.0 — 论文摘要与大纲（v1，2026-08-24 机制完整版）</w:t>
      </w:r>
    </w:p>
    <w:p>
      <w:pPr>
        <w:jc w:val="center"/>
      </w:pPr>
      <w:r>
        <w:t>版本：2026-08-24　|　来源：docs/21_paper_framework.md（唯一权威版本，本 docx 为导出件）</w:t>
      </w:r>
    </w:p>
    <w:p>
      <w:pPr>
        <w:pStyle w:val="Heading1"/>
      </w:pPr>
      <w:r>
        <w:t>0. 一句话核心主张</w:t>
      </w:r>
    </w:p>
    <w:p>
      <w:r>
        <w:t>历史底物数据对新底物 BO 的价值，不是“让模型更聪明”（被证伪），而是“提供第 1 轮的 5 个高可能性条件清单”（跨四库稳健）。机制（已验证）：迁移的是条件“排序”而非产率“数值”；价值落点 = 顶部排序保持（init 通道）× 响应面可学性（续跑通道）；清单吃主效应、EI 吃交互——这就是“把大部分历史扔掉”背后的完整原理。</w:t>
      </w:r>
    </w:p>
    <w:p>
      <w:pPr>
        <w:pStyle w:val="Heading1"/>
      </w:pPr>
      <w:r>
        <w:t>1. Title</w:t>
      </w:r>
    </w:p>
    <w:p>
      <w:r>
        <w:t>定稿： “Throw most of it away: historical HTE data accelerates Bayesian optimization for new substrates through a five-condition list, not a transfer model”</w:t>
      </w:r>
    </w:p>
    <w:p>
      <w:r>
        <w:t>机制精确备选： “Keep the order, throw away the numbers: ranking, not magnitude, is what transfers across substrates”</w:t>
      </w:r>
    </w:p>
    <w:p>
      <w:r>
        <w:t>保守备选： “A list, not a model: decomposing the value of historical HTE data for substrate-level Bayesian optimization”</w:t>
      </w:r>
    </w:p>
    <w:p>
      <w:pPr>
        <w:pStyle w:val="Heading1"/>
      </w:pPr>
      <w:r>
        <w:t>2. Abstract（EN）</w:t>
      </w:r>
    </w:p>
    <w:p>
      <w:r>
        <w:t>Historical high-throughput experimentation (HTE) data from related substrates should accelerate Bayesian optimization (BO) for new substrates—but how the history enters the loop, as surrogate training data, as a prior, or as a fixed initialization, is unresolved, and negative results are rarely reported. Across four HTE libraries spanning three reaction classes (71 substrate-defined tasks; 2,130 leave-one-substrate-out jobs; one frozen protocol), we find a counterintuitive answer: the best way to use the history is to throw most of it away. Injecting historical labels into the surrogate—similarity-weighted pooling, contextual/multi-task GP—is null or negative in every library, and a matched-initialization audit shows the BO continuation adds little beyond a good start. The only robustly effective transfer form is a pooled top-five condition list used as round-one initialization (+160 and +108 AUC vs. cold start on the two full-grid libraries; 88–94% of targets improved); the gain is early, while final best yields are unchanged—history makes the protocol faster, not better. A ranking-preservation mechanism unifies these findings: what transfers across substrates is the ranking of conditions (mean pairwise Spearman 0.09–0.58 across libraries), not absolute yields—the list carries only the top of the ranking, whereas the GP learns magnitudes that do not transfer. The location of the remaining value is library-dependent yet decomposes into two measurable channels—top-ranking preservation (initialization) and response-surface learnability (continuation)—which close a quadrant across all four libraries: the list exploits main effects, EI exploits interactions. Deployment boundaries follow: ≥3 history substrates are required (≥5 recommended), single-source transfer is unreliable, and condition-level source coverage must be reported. The results reframe transfer BO as a decision about initialization, not surrogate sharing, and provide a reusable matched-initialization audit template.</w:t>
      </w:r>
    </w:p>
    <w:p>
      <w:pPr>
        <w:pStyle w:val="Heading1"/>
      </w:pPr>
      <w:r>
        <w:t>2. Abstract（ZH，供内部）</w:t>
      </w:r>
    </w:p>
    <w:p>
      <w:r>
        <w:t>来自相关底物的历史 HTE 数据理应能加速新底物的贝叶斯优化（BO）——但历史以何种形态进入回路（代理模型训练数据、先验、还是固定初始化）尚无答案，且负结果极少被报告。我们在三个反应类、四个 HTE 库（71 个底物任务、2,130 个 LOSO job、一套冻结协议）上得到一个反直觉的答案：使用历史数据的最好方式，是把大部分历史扔掉。把历史标签注入代理模型（相似度加权池化、contextual/多任务 GP）在全部库上 null 或负，匹配初始化审计显示清单之后的 BO 续跑增量很小。唯一跨库稳健的迁移形态是多源池化 top-5 条件清单作第 1 轮初始化（两个完整网格库 +160/+108 AUC vs cold，88–94% 靶提升）；增益在前段、终点产率不变——历史让协议更快而非更好。排序保持机制统一了这些发现：跨底物迁移的是条件排序（配对 Spearman 0.09–0.58），不是绝对产率——清单只携带顶部排序，GP 学的是不可迁移的数值。迁移价值的落点随库变化，但可分解为两个可测通道——顶部排序保持（初始化）与响应面可学性（续跑）——四库象限闭合：清单利用主效应，EI 利用交互。部署边界随之明确：≥3 个历史底物（推荐 ≥5）、单源不可靠、条件级 source coverage 必须上报。结论把迁移 BO 重新框定为“初始化决策”而非“代理模型共享”，并提供可复用的匹配初始化审计模板。</w:t>
      </w:r>
    </w:p>
    <w:p>
      <w:pPr>
        <w:pStyle w:val="Heading1"/>
      </w:pPr>
      <w:r>
        <w:t>3. 大纲</w:t>
      </w:r>
    </w:p>
    <w:p>
      <w:pPr>
        <w:pStyle w:val="Heading2"/>
      </w:pPr>
      <w:r>
        <w:t>1. Introduction</w:t>
      </w:r>
    </w:p>
    <w:p>
      <w:pPr>
        <w:pStyle w:val="ListBullet"/>
      </w:pPr>
      <w:r>
        <w:t>1.1 问题：HTE 数据累积 → 新底物 BO 的冷启动困境；warm-start 直觉与文献现状——【立起“历史应该有用”的直觉，为反直觉答案铺路】</w:t>
      </w:r>
    </w:p>
    <w:p>
      <w:pPr>
        <w:pStyle w:val="ListBullet"/>
      </w:pPr>
      <w:r>
        <w:t>1.2 缺口：① 迁移“形态”未被系统对照；② 正结果偏差；③ 迁移价值“落在哪一段”从未被分离——【说明为什么“显而易见的问题”没有答案】</w:t>
      </w:r>
    </w:p>
    <w:p>
      <w:pPr>
        <w:pStyle w:val="ListBullet"/>
      </w:pPr>
      <w:r>
        <w:t>1.3 贡献（反直觉答案 + 三层机制 + matched-init 方法模板 + 证据支持的临时默认——最终策略为后续工作）</w:t>
      </w:r>
    </w:p>
    <w:p>
      <w:pPr>
        <w:pStyle w:val="Heading2"/>
      </w:pPr>
      <w:r>
        <w:t>2. Results</w:t>
      </w:r>
    </w:p>
    <w:p>
      <w:pPr>
        <w:pStyle w:val="ListBullet"/>
      </w:pPr>
      <w:r>
        <w:t>2.1 四库基准与冻结协议：库表；LOSO + 双对照 + 靶级 bootstrap；数据对账——【舞台】</w:t>
      </w:r>
    </w:p>
    <w:p>
      <w:pPr>
        <w:pStyle w:val="ListBullet"/>
      </w:pPr>
      <w:r>
        <w:t>2.2 负结果先行：把历史全量用上（进 GP）无效：sim_weighted/pooled/contextual 四库 null/负；matched-init 审计（C1/C2/C3/C4）——【证伪“让模型更聪明”，标题句的第一刀】</w:t>
      </w:r>
    </w:p>
    <w:p>
      <w:pPr>
        <w:pStyle w:val="ListBullet"/>
      </w:pPr>
      <w:r>
        <w:t>2.3 幸存形态：压缩成 5 条件清单：跨库 topk 表（+160/+108/+47/+150）；AUC@k 前段集中；轮次视角；终点一致（更快而非更高）——【正结果，标题句的“剩下什么”】</w:t>
      </w:r>
    </w:p>
    <w:p>
      <w:pPr>
        <w:pStyle w:val="ListBullet"/>
      </w:pPr>
      <w:r>
        <w:t>2.4 机制统一：排序保持假说（核心）：四库排序 Spearman 0.577/0.361/0.264/0.088；P1 库级 +0.800（方向一致、n=4）；P3 顶部更稳（top-5 排名 22.7/14.6 vs 87.7/38.0）——【“为什么”第一层】</w:t>
      </w:r>
    </w:p>
    <w:p>
      <w:pPr>
        <w:pStyle w:val="ListBullet"/>
      </w:pPr>
      <w:r>
        <w:t>2.5 价值位置：双通道 + 分工（核心）：四库 M1 分解（carried +278/+186/+134/+46 vs topk post +52/+51/+189/+80）→ 象限闭合；Suzuki 悖论由后段可学性解开；分工（additive R² 负相关：胺化 0.279→清单够、Suzuki 0.148→EI 有空间；borylation 靶级 +0.427，p=0.01）；混淆排除 + 实验室混淆坦白——【“为什么”第二、三层】</w:t>
      </w:r>
    </w:p>
    <w:p>
      <w:pPr>
        <w:pStyle w:val="ListBullet"/>
      </w:pPr>
      <w:r>
        <w:t>2.6 部署边界：源数门槛 ≥3/≥5；单源 ≪ 多源；coverage 强制上报；门控现状（docs/20 + 新接口：门 = 事前预测排序保持度）；表述口径</w:t>
      </w:r>
    </w:p>
    <w:p>
      <w:pPr>
        <w:pStyle w:val="ListBullet"/>
      </w:pPr>
      <w:r>
        <w:t>2.7 前瞻验证规划：P4 回顾层已完成；P3 湿实验（SNAr 方案 + 投料表就绪）；批次提示作部署风险</w:t>
      </w:r>
    </w:p>
    <w:p>
      <w:pPr>
        <w:pStyle w:val="Heading2"/>
      </w:pPr>
      <w:r>
        <w:t>3. Methods</w:t>
      </w:r>
    </w:p>
    <w:p>
      <w:pPr>
        <w:pStyle w:val="ListBullet"/>
      </w:pPr>
      <w:r>
        <w:t>3.1 数据与来源（四库，对账与预处理）</w:t>
      </w:r>
    </w:p>
    <w:p>
      <w:pPr>
        <w:pStyle w:val="ListBullet"/>
      </w:pPr>
      <w:r>
        <w:t>3.2 协议（LOSO、k=5、OHE、GP-EI、B=20、双对照、靶级 bootstrap、轮次指标）</w:t>
      </w:r>
    </w:p>
    <w:p>
      <w:pPr>
        <w:pStyle w:val="ListBullet"/>
      </w:pPr>
      <w:r>
        <w:t>3.3 策略集与 matched-init 模板（C1–C4 定义）</w:t>
      </w:r>
    </w:p>
    <w:p>
      <w:pPr>
        <w:pStyle w:val="ListBullet"/>
      </w:pPr>
      <w:r>
        <w:t>3.4 排序保持分析（跨底物 Spearman、pooled top-5 排名、M1 双通道分解）</w:t>
      </w:r>
    </w:p>
    <w:p>
      <w:pPr>
        <w:pStyle w:val="ListBullet"/>
      </w:pPr>
      <w:r>
        <w:t>3.5 可学性分析（因子特征 GP 留出、additive R²、高值区集中度）</w:t>
      </w:r>
    </w:p>
    <w:p>
      <w:pPr>
        <w:pStyle w:val="ListBullet"/>
      </w:pPr>
      <w:r>
        <w:t>3.6 统计与复现（seed→target 聚合；bootstrap；2,130 jobs 清单）</w:t>
      </w:r>
    </w:p>
    <w:p>
      <w:pPr>
        <w:pStyle w:val="Heading2"/>
      </w:pPr>
      <w:r>
        <w:t>4. Discussion</w:t>
      </w:r>
    </w:p>
    <w:p>
      <w:pPr>
        <w:pStyle w:val="ListBullet"/>
      </w:pPr>
      <w:r>
        <w:t>4.1 为什么进 GP 无用（排序假说统一解释：GP 学数值与全部排序；OHE 下 5 点零样本 ≈ 0 是旁证）</w:t>
      </w:r>
    </w:p>
    <w:p>
      <w:pPr>
        <w:pStyle w:val="ListBullet"/>
      </w:pPr>
      <w:r>
        <w:t>4.2 为什么门控学不会（门 = 稳定性问题；新接口：门 = 事前预测源-目标排序保持度）</w:t>
      </w:r>
    </w:p>
    <w:p>
      <w:pPr>
        <w:pStyle w:val="ListBullet"/>
      </w:pPr>
      <w:r>
        <w:t>4.3 为什么价值位置库相关（双通道机制 + 分工：清单吃主效应、EI 吃交互；统计边界如实：n=4 方向一致、borylation 靶级显著）</w:t>
      </w:r>
    </w:p>
    <w:p>
      <w:pPr>
        <w:pStyle w:val="ListBullet"/>
      </w:pPr>
      <w:r>
        <w:t>4.4 与文献关系（warm-start/MTBO/化学 BO；差异 = 审计 + 负结果 + 机制三层）</w:t>
      </w:r>
    </w:p>
    <w:p>
      <w:pPr>
        <w:pStyle w:val="ListBullet"/>
      </w:pPr>
      <w:r>
        <w:t>4.5 局限（回顾性、seed=5、无湿实验、无门控、批次、n=4 统计力）</w:t>
      </w:r>
    </w:p>
    <w:p>
      <w:pPr>
        <w:pStyle w:val="ListBullet"/>
      </w:pPr>
      <w:r>
        <w:t>4.6 对实践的意义（证据支持的临时默认：清单 + 门槛 + coverage + 分库模式；最终策略待策略研究）</w:t>
      </w:r>
    </w:p>
    <w:p>
      <w:pPr>
        <w:pStyle w:val="Heading2"/>
      </w:pPr>
      <w:r>
        <w:t>5. Conclusion</w:t>
      </w:r>
    </w:p>
    <w:p>
      <w:pPr>
        <w:pStyle w:val="ListBullet"/>
      </w:pPr>
      <w:r>
        <w:t>一句话重述（“throw most of it away” + 排序保持 + 分工）+ 可复用资产清单（数据、审计模板、机制脚本、策略规格、开源）</w:t>
      </w:r>
    </w:p>
    <w:p>
      <w:pPr>
        <w:pStyle w:val="Heading2"/>
      </w:pPr>
      <w:r>
        <w:t>Supplementary Information</w:t>
      </w:r>
    </w:p>
    <w:p>
      <w:pPr>
        <w:pStyle w:val="ListBullet"/>
      </w:pPr>
      <w:r>
        <w:t>S1 各库逐任务森林图与 worst-target</w:t>
      </w:r>
    </w:p>
    <w:p>
      <w:pPr>
        <w:pStyle w:val="ListBullet"/>
      </w:pPr>
      <w:r>
        <w:t>S2 matched-init 完整表（四库 C1–C4）</w:t>
      </w:r>
    </w:p>
    <w:p>
      <w:pPr>
        <w:pStyle w:val="ListBullet"/>
      </w:pPr>
      <w:r>
        <w:t>S3 轮次指标全套（AUC@5/10、T_50/70、命中高产区）</w:t>
      </w:r>
    </w:p>
    <w:p>
      <w:pPr>
        <w:pStyle w:val="ListBullet"/>
      </w:pPr>
      <w:r>
        <w:t>S4 源数门槛曲线与 coverage 分析</w:t>
      </w:r>
    </w:p>
    <w:p>
      <w:pPr>
        <w:pStyle w:val="ListBullet"/>
      </w:pPr>
      <w:r>
        <w:t>S5 清单聚合规则消融（mean/median/best-source/UCB 式）</w:t>
      </w:r>
    </w:p>
    <w:p>
      <w:pPr>
        <w:pStyle w:val="ListBullet"/>
      </w:pPr>
      <w:r>
        <w:t>S6 排序保持与可学性全表（results/rank_preservation/）</w:t>
      </w:r>
    </w:p>
    <w:p>
      <w:pPr>
        <w:pStyle w:val="ListBullet"/>
      </w:pPr>
      <w:r>
        <w:t>S7 批次效应单样本提示（hit_11）</w:t>
      </w:r>
    </w:p>
    <w:p>
      <w:pPr>
        <w:pStyle w:val="ListBullet"/>
      </w:pPr>
      <w:r>
        <w:t>S8 种子敏感性与噪声重放（待做）</w:t>
      </w:r>
    </w:p>
    <w:p>
      <w:pPr>
        <w:pStyle w:val="Heading1"/>
      </w:pPr>
      <w:r>
        <w:t>4. 叙事红线（写作纪律）</w:t>
      </w:r>
    </w:p>
    <w:p>
      <w:pPr>
        <w:pStyle w:val="ListNumber"/>
      </w:pPr>
      <w:r>
        <w:t>主句永远写“把大部分历史扔掉（只剩 5 条件清单）”，不写“topk 有效”</w:t>
      </w:r>
    </w:p>
    <w:p>
      <w:pPr>
        <w:pStyle w:val="ListNumber"/>
      </w:pPr>
      <w:r>
        <w:t>负结果先行（叙事弧线：全量使用失败 → 清单幸存 → 机制统一）</w:t>
      </w:r>
    </w:p>
    <w:p>
      <w:pPr>
        <w:pStyle w:val="ListNumber"/>
      </w:pPr>
      <w:r>
        <w:t>机制表述：排序保持/双通道/分工可写“机制”（有四库验证）；但“可学性差异的最终成因”与“反应类因果”不写死（实验室混淆未排除）</w:t>
      </w:r>
    </w:p>
    <w:p>
      <w:pPr>
        <w:pStyle w:val="ListNumber"/>
      </w:pPr>
      <w:r>
        <w:t>跨库 ΔAUC 绝对值不可比 → 只用方向 + CI + 相对量</w:t>
      </w:r>
    </w:p>
    <w:p>
      <w:pPr>
        <w:pStyle w:val="ListNumber"/>
      </w:pPr>
      <w:r>
        <w:t>“更快到达同样的终点”只在 final_best CI 合理时使用（胺化 +2.24、borylation +0.31；Suzuki 类表述为“终点优势远小于前期优势”）</w:t>
      </w:r>
    </w:p>
    <w:p>
      <w:pPr>
        <w:pStyle w:val="ListNumber"/>
      </w:pPr>
      <w:r>
        <w:t>排序假说统计边界如实写：P1 方向一致但 n=4 欠统计力；P2 部分支持；P4 双通道与分工是主证据（borylation 靶级 p=0.01）</w:t>
      </w:r>
    </w:p>
    <w:p>
      <w:pPr>
        <w:pStyle w:val="ListNumber"/>
      </w:pPr>
      <w:r>
        <w:t>数字引用必须回到锁定文档，写作过程不改任何结果表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