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11207"/>
      </w:tblGrid>
      <w:tr w:rsidR="0065655C" w:rsidRPr="0065655C" w:rsidTr="0065655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5E5E5"/>
            <w:tcMar>
              <w:top w:w="240" w:type="dxa"/>
              <w:left w:w="168" w:type="dxa"/>
              <w:bottom w:w="240" w:type="dxa"/>
              <w:right w:w="168" w:type="dxa"/>
            </w:tcMar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b/>
                <w:bCs/>
                <w:caps/>
                <w:color w:val="565656"/>
                <w:kern w:val="0"/>
                <w:sz w:val="19"/>
                <w:szCs w:val="19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5E5E5"/>
            <w:tcMar>
              <w:top w:w="240" w:type="dxa"/>
              <w:left w:w="168" w:type="dxa"/>
              <w:bottom w:w="240" w:type="dxa"/>
              <w:right w:w="168" w:type="dxa"/>
            </w:tcMar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aps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b/>
                <w:bCs/>
                <w:caps/>
                <w:color w:val="565656"/>
                <w:kern w:val="0"/>
                <w:sz w:val="19"/>
                <w:szCs w:val="19"/>
                <w14:ligatures w14:val="none"/>
              </w:rPr>
              <w:t>DESCRIPTION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VCC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3.3V/5V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GND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Ground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DIN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SPI MOSI pin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CLK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SPI SCK pin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CS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SPI chip selection, low active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DC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Data/Command selection (high for data, low for command)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RST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External reset, low active</w:t>
            </w:r>
          </w:p>
        </w:tc>
      </w:tr>
      <w:tr w:rsidR="0065655C" w:rsidRPr="0065655C" w:rsidTr="0065655C"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BUSY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55C" w:rsidRPr="0065655C" w:rsidRDefault="0065655C" w:rsidP="0065655C">
            <w:pPr>
              <w:spacing w:after="240"/>
              <w:jc w:val="center"/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</w:pPr>
            <w:r w:rsidRPr="0065655C">
              <w:rPr>
                <w:rFonts w:ascii="Helvetica" w:eastAsia="Times New Roman" w:hAnsi="Helvetica" w:cs="Helvetica"/>
                <w:color w:val="565656"/>
                <w:kern w:val="0"/>
                <w:sz w:val="19"/>
                <w:szCs w:val="19"/>
                <w14:ligatures w14:val="none"/>
              </w:rPr>
              <w:t>Busy status output, low active</w:t>
            </w:r>
          </w:p>
        </w:tc>
      </w:tr>
    </w:tbl>
    <w:p w:rsidR="00F92297" w:rsidRDefault="00F92297"/>
    <w:p w:rsidR="0030680F" w:rsidRDefault="0030680F"/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Operating voltage: 3.3V/5V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Interface: 3-wire SPI, 4-wire SPI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Outline dimension: 48mm × 33mm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Display size: 27.6mm × 27.6mm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Dot pitch: 0.138 × 0.138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Resolution: 200 × 200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Display color: red, black, white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Grey level: 2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Full refresh time: 14s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Refresh power: 26.4mW(typ.)</w:t>
      </w:r>
    </w:p>
    <w:p w:rsidR="0030680F" w:rsidRP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Standby power: &lt;0.017mW</w:t>
      </w:r>
    </w:p>
    <w:p w:rsidR="0030680F" w:rsidRDefault="0030680F" w:rsidP="003068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Viewing angle: &gt;170°</w:t>
      </w:r>
    </w:p>
    <w:p w:rsidR="0030680F" w:rsidRPr="0030680F" w:rsidRDefault="0030680F" w:rsidP="0030680F">
      <w:pPr>
        <w:shd w:val="clear" w:color="auto" w:fill="FFFFFF"/>
        <w:spacing w:before="240" w:after="24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This is an E-Ink display module, 1.54inch, 200x200 resolution, with embedded controller, communicating via SPI interface, supports red, black, and white three-color display.</w:t>
      </w:r>
    </w:p>
    <w:p w:rsidR="0030680F" w:rsidRPr="0030680F" w:rsidRDefault="0030680F" w:rsidP="0030680F">
      <w:pPr>
        <w:shd w:val="clear" w:color="auto" w:fill="FFFFFF"/>
        <w:spacing w:before="240" w:after="24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 xml:space="preserve">Due to the advantages like </w:t>
      </w:r>
      <w:proofErr w:type="spellStart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ultra low</w:t>
      </w:r>
      <w:proofErr w:type="spellEnd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 xml:space="preserve"> power consumption, wide viewing angle, clear display without electricity, it is an ideal choice for applications such as shelf label, industrial instrument, and so on.</w:t>
      </w:r>
    </w:p>
    <w:p w:rsidR="0030680F" w:rsidRPr="0030680F" w:rsidRDefault="0030680F" w:rsidP="0030680F">
      <w:pPr>
        <w:pBdr>
          <w:left w:val="single" w:sz="24" w:space="4" w:color="7BAE23"/>
        </w:pBdr>
        <w:shd w:val="clear" w:color="auto" w:fill="FFFFFF"/>
        <w:spacing w:before="480" w:after="480"/>
        <w:outlineLvl w:val="1"/>
        <w:rPr>
          <w:rFonts w:ascii="Helvetica" w:eastAsia="Times New Roman" w:hAnsi="Helvetica" w:cs="Helvetica"/>
          <w:b/>
          <w:bCs/>
          <w:color w:val="565656"/>
          <w:kern w:val="0"/>
          <w:sz w:val="31"/>
          <w:szCs w:val="31"/>
          <w14:ligatures w14:val="none"/>
        </w:rPr>
      </w:pPr>
      <w:r w:rsidRPr="0030680F">
        <w:rPr>
          <w:rFonts w:ascii="Helvetica" w:eastAsia="Times New Roman" w:hAnsi="Helvetica" w:cs="Helvetica"/>
          <w:b/>
          <w:bCs/>
          <w:color w:val="565656"/>
          <w:kern w:val="0"/>
          <w:sz w:val="31"/>
          <w:szCs w:val="31"/>
          <w14:ligatures w14:val="none"/>
        </w:rPr>
        <w:lastRenderedPageBreak/>
        <w:t>Features</w:t>
      </w:r>
      <w:bookmarkStart w:id="0" w:name="_GoBack"/>
      <w:bookmarkEnd w:id="0"/>
    </w:p>
    <w:p w:rsidR="0030680F" w:rsidRPr="0030680F" w:rsidRDefault="0030680F" w:rsidP="0030680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proofErr w:type="gramStart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No backlight,</w:t>
      </w:r>
      <w:proofErr w:type="gramEnd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 xml:space="preserve"> keeps displaying last content for a long time even when power down</w:t>
      </w:r>
    </w:p>
    <w:p w:rsidR="0030680F" w:rsidRPr="0030680F" w:rsidRDefault="0030680F" w:rsidP="0030680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proofErr w:type="spellStart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Ultra low</w:t>
      </w:r>
      <w:proofErr w:type="spellEnd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 xml:space="preserve"> power consumption, basically power is only required for refreshing</w:t>
      </w:r>
    </w:p>
    <w:p w:rsidR="0030680F" w:rsidRPr="0030680F" w:rsidRDefault="0030680F" w:rsidP="0030680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SPI interface, for connecting with controller boards like Raspberry Pi/</w:t>
      </w:r>
      <w:proofErr w:type="spellStart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Nucleo</w:t>
      </w:r>
      <w:proofErr w:type="spellEnd"/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, etc.</w:t>
      </w:r>
    </w:p>
    <w:p w:rsidR="0030680F" w:rsidRPr="0030680F" w:rsidRDefault="0030680F" w:rsidP="0030680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Onboard voltage translator, compatible with 3.3V/5V MCUs</w:t>
      </w:r>
    </w:p>
    <w:p w:rsidR="0030680F" w:rsidRPr="0030680F" w:rsidRDefault="0030680F" w:rsidP="0030680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r w:rsidRPr="0030680F"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  <w:t>Comes with development resources and manual (examples for Raspberry Pi/Jetson Nano/STM32)</w:t>
      </w:r>
    </w:p>
    <w:p w:rsidR="0030680F" w:rsidRDefault="0030680F" w:rsidP="0030680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</w:p>
    <w:p w:rsidR="009A5641" w:rsidRPr="0030680F" w:rsidRDefault="009A5641" w:rsidP="0030680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565656"/>
          <w:kern w:val="0"/>
          <w:sz w:val="23"/>
          <w:szCs w:val="23"/>
          <w14:ligatures w14:val="none"/>
        </w:rPr>
      </w:pPr>
      <w:proofErr w:type="gramStart"/>
      <w:r>
        <w:rPr>
          <w:rStyle w:val="Strong"/>
          <w:rFonts w:ascii="Helvetica" w:hAnsi="Helvetica" w:cs="Helvetica"/>
          <w:color w:val="565656"/>
          <w:sz w:val="23"/>
          <w:szCs w:val="23"/>
          <w:shd w:val="clear" w:color="auto" w:fill="FFFFFF"/>
        </w:rPr>
        <w:t>Wiki :</w:t>
      </w:r>
      <w:proofErr w:type="gramEnd"/>
      <w:r>
        <w:rPr>
          <w:rStyle w:val="Strong"/>
          <w:rFonts w:ascii="Helvetica" w:hAnsi="Helvetica" w:cs="Helvetica"/>
          <w:color w:val="565656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7BAE23"/>
            <w:sz w:val="23"/>
            <w:szCs w:val="23"/>
            <w:shd w:val="clear" w:color="auto" w:fill="FFFFFF"/>
          </w:rPr>
          <w:t>www.waveshare.com/wiki/1.54inch_e-Paper_Module_(B)</w:t>
        </w:r>
      </w:hyperlink>
    </w:p>
    <w:p w:rsidR="0030680F" w:rsidRDefault="0030680F"/>
    <w:sectPr w:rsidR="0030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B7055"/>
    <w:multiLevelType w:val="multilevel"/>
    <w:tmpl w:val="85E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E066F6"/>
    <w:multiLevelType w:val="multilevel"/>
    <w:tmpl w:val="8FF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5C"/>
    <w:rsid w:val="0004313D"/>
    <w:rsid w:val="00136137"/>
    <w:rsid w:val="00136257"/>
    <w:rsid w:val="0030680F"/>
    <w:rsid w:val="006024DC"/>
    <w:rsid w:val="0065655C"/>
    <w:rsid w:val="006C363B"/>
    <w:rsid w:val="00940008"/>
    <w:rsid w:val="009A5641"/>
    <w:rsid w:val="00CA5161"/>
    <w:rsid w:val="00DB555A"/>
    <w:rsid w:val="00F648A4"/>
    <w:rsid w:val="00F75B9C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B9E6"/>
  <w15:chartTrackingRefBased/>
  <w15:docId w15:val="{44FFB0E1-646F-475A-818C-4F8916C9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137"/>
  </w:style>
  <w:style w:type="paragraph" w:styleId="Heading1">
    <w:name w:val="heading 1"/>
    <w:basedOn w:val="Normal"/>
    <w:next w:val="Normal"/>
    <w:link w:val="Heading1Char"/>
    <w:uiPriority w:val="9"/>
    <w:qFormat/>
    <w:rsid w:val="00F648A4"/>
    <w:pPr>
      <w:keepNext/>
      <w:spacing w:before="240" w:after="60"/>
      <w:outlineLvl w:val="0"/>
    </w:pPr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48A4"/>
    <w:pPr>
      <w:keepNext/>
      <w:spacing w:before="240" w:after="60"/>
      <w:outlineLvl w:val="1"/>
    </w:pPr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8A4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A4"/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8A4"/>
    <w:rPr>
      <w:rFonts w:eastAsiaTheme="majorEastAsia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648A4"/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character" w:styleId="Emphasis">
    <w:name w:val="Emphasis"/>
    <w:aliases w:val="Emphasis2"/>
    <w:basedOn w:val="DefaultParagraphFont"/>
    <w:uiPriority w:val="20"/>
    <w:qFormat/>
    <w:rsid w:val="00940008"/>
    <w:rPr>
      <w:rFonts w:ascii="Barlow Condensed" w:hAnsi="Barlow Condensed"/>
      <w:i/>
      <w:iCs/>
      <w:sz w:val="28"/>
    </w:rPr>
  </w:style>
  <w:style w:type="paragraph" w:styleId="Subtitle">
    <w:name w:val="Subtitle"/>
    <w:aliases w:val="Vocabulary"/>
    <w:basedOn w:val="Normal"/>
    <w:next w:val="Normal"/>
    <w:link w:val="SubtitleChar"/>
    <w:uiPriority w:val="11"/>
    <w:qFormat/>
    <w:rsid w:val="00F75B9C"/>
    <w:rPr>
      <w:i/>
    </w:rPr>
  </w:style>
  <w:style w:type="character" w:customStyle="1" w:styleId="SubtitleChar">
    <w:name w:val="Subtitle Char"/>
    <w:aliases w:val="Vocabulary Char"/>
    <w:basedOn w:val="DefaultParagraphFont"/>
    <w:link w:val="Subtitle"/>
    <w:uiPriority w:val="11"/>
    <w:rsid w:val="00F75B9C"/>
    <w:rPr>
      <w:i/>
      <w:sz w:val="24"/>
      <w:szCs w:val="24"/>
    </w:rPr>
  </w:style>
  <w:style w:type="paragraph" w:customStyle="1" w:styleId="Archdocumentsstyle">
    <w:name w:val="Arch documents style"/>
    <w:basedOn w:val="Normal"/>
    <w:link w:val="ArchdocumentsstyleChar"/>
    <w:qFormat/>
    <w:rsid w:val="00F75B9C"/>
    <w:pPr>
      <w:jc w:val="center"/>
    </w:pPr>
  </w:style>
  <w:style w:type="character" w:customStyle="1" w:styleId="ArchdocumentsstyleChar">
    <w:name w:val="Arch documents style Char"/>
    <w:basedOn w:val="DefaultParagraphFont"/>
    <w:link w:val="Archdocumentsstyle"/>
    <w:rsid w:val="00F75B9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68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56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5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veshare.com/wiki/1.54inch_e-Paper_Module_(B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Morrey, Chris</dc:creator>
  <cp:keywords/>
  <dc:description/>
  <cp:lastModifiedBy>Morrey, Chris</cp:lastModifiedBy>
  <cp:revision>3</cp:revision>
  <dcterms:created xsi:type="dcterms:W3CDTF">2023-10-13T00:55:00Z</dcterms:created>
  <dcterms:modified xsi:type="dcterms:W3CDTF">2023-10-13T00:57:00Z</dcterms:modified>
</cp:coreProperties>
</file>