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Schemat urządzenia SVC:</w:t>
      </w:r>
    </w:p>
    <w:p>
      <w:r>
        <w:drawing>
          <wp:inline xmlns:a="http://schemas.openxmlformats.org/drawingml/2006/main" xmlns:pic="http://schemas.openxmlformats.org/drawingml/2006/picture">
            <wp:extent cx="7052310" cy="40569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ygenerowan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056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Legenda:</w:t>
        <w:br/>
      </w:r>
      <w:r>
        <w:t>Q1 - dławik 1 fazowy, moc -1 kVAr</w:t>
        <w:br/>
      </w:r>
      <w:r>
        <w:t>Q2 - dławik 1 fazowy, moc -1 kVAr</w:t>
        <w:br/>
      </w:r>
      <w:r>
        <w:t>Q3 - dławik 1 fazowy, moc -1 kVAr</w:t>
        <w:br/>
      </w:r>
      <w:r>
        <w:t>Łącznik tyrystorowy o mocy 5 kVAr</w:t>
        <w:br/>
      </w:r>
      <w:r>
        <w:t>Sterownik z funkcją SVC</w:t>
        <w:br/>
      </w:r>
      <w:r>
        <w:t>Wentylator 230V 0.12A, załączany termostatem KTS 011</w:t>
        <w:br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