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jspqu845f687"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SAN JOSÉ LABRIN NOVOA, JORGE RAUL, DNI 24.575.535</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de nacionalidad </w:t>
      </w:r>
      <w:r w:rsidDel="00000000" w:rsidR="00000000" w:rsidRPr="00000000">
        <w:rPr>
          <w:rFonts w:ascii="Microsoft New Tai Lue" w:cs="Microsoft New Tai Lue" w:eastAsia="Microsoft New Tai Lue" w:hAnsi="Microsoft New Tai Lue"/>
          <w:sz w:val="23"/>
          <w:szCs w:val="23"/>
          <w:highlight w:val="yellow"/>
          <w:rtl w:val="0"/>
        </w:rPr>
        <w:t xml:space="preserve">Argentina, con domicilio real en la calle Güemes 1752, Tigre, Provincia de Buenos Aires,</w:t>
      </w:r>
      <w:r w:rsidDel="00000000" w:rsidR="00000000" w:rsidRPr="00000000">
        <w:rPr>
          <w:rFonts w:ascii="Microsoft New Tai Lue" w:cs="Microsoft New Tai Lue" w:eastAsia="Microsoft New Tai Lue" w:hAnsi="Microsoft New Tai Lue"/>
          <w:sz w:val="23"/>
          <w:szCs w:val="23"/>
          <w:rtl w:val="0"/>
        </w:rPr>
        <w:t xml:space="preserve"> junto con el letrado que me patrocina, </w:t>
      </w:r>
      <w:r w:rsidDel="00000000" w:rsidR="00000000" w:rsidRPr="00000000">
        <w:rPr>
          <w:rFonts w:ascii="Microsoft New Tai Lue" w:cs="Microsoft New Tai Lue" w:eastAsia="Microsoft New Tai Lue" w:hAnsi="Microsoft New Tai Lue"/>
          <w:b w:val="1"/>
          <w:bCs w:val="1"/>
          <w:sz w:val="23"/>
          <w:szCs w:val="23"/>
          <w:rtl w:val="0"/>
        </w:rPr>
        <w:t xml:space="preserve">FEDERICO ADRIAN D´AREZZO</w:t>
      </w:r>
      <w:r w:rsidDel="00000000" w:rsidR="00000000" w:rsidRPr="00000000">
        <w:rPr>
          <w:rFonts w:ascii="Microsoft New Tai Lue" w:cs="Microsoft New Tai Lue" w:eastAsia="Microsoft New Tai Lue" w:hAnsi="Microsoft New Tai Lue"/>
          <w:sz w:val="23"/>
          <w:szCs w:val="23"/>
          <w:rtl w:val="0"/>
        </w:rPr>
        <w:t xml:space="preserve">, abogado inscripto al T° LI F° 296 del CASI, Monotributista (CUIT 20-36150282-6), constituyendo domicilio en Avda. Corrientes 1312, piso 12° Of. "30", C.A.B.A. (Zona N° 114; Tel: 5368-2730; email: federico.darezzo@hotmail.com), ante esta Comisión Médica me presento y digo:</w:t>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vengo, en los términos de los arts. 1, 2. 3 y 14 Ley 27.348, en legal tiempo y forma, a interponer demanda administrativa por rechazo de enfermedad profesional ante esta Comisión Médica, competente por </w:t>
      </w:r>
      <w:r w:rsidDel="00000000" w:rsidR="00000000" w:rsidRPr="00000000">
        <w:rPr>
          <w:rFonts w:ascii="Microsoft New Tai Lue" w:cs="Microsoft New Tai Lue" w:eastAsia="Microsoft New Tai Lue" w:hAnsi="Microsoft New Tai Lue"/>
          <w:sz w:val="23"/>
          <w:szCs w:val="23"/>
          <w:highlight w:val="yellow"/>
          <w:rtl w:val="0"/>
        </w:rPr>
        <w:t xml:space="preserve">la ubicación del lugar de prestación de servicios</w:t>
      </w:r>
      <w:r w:rsidDel="00000000" w:rsidR="00000000" w:rsidRPr="00000000">
        <w:rPr>
          <w:rFonts w:ascii="Microsoft New Tai Lue" w:cs="Microsoft New Tai Lue" w:eastAsia="Microsoft New Tai Lue" w:hAnsi="Microsoft New Tai Lue"/>
          <w:sz w:val="23"/>
          <w:szCs w:val="23"/>
          <w:rtl w:val="0"/>
        </w:rPr>
        <w:t xml:space="preserve">, contra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FEDERACION PATRONAL SEGUROS S.A., CUIT 33-70736658-9</w:t>
      </w:r>
      <w:r w:rsidDel="00000000" w:rsidR="00000000" w:rsidRPr="00000000">
        <w:rPr>
          <w:rFonts w:ascii="Microsoft New Tai Lue" w:cs="Microsoft New Tai Lue" w:eastAsia="Microsoft New Tai Lue" w:hAnsi="Microsoft New Tai Lue"/>
          <w:b w:val="1"/>
          <w:bCs w:val="1"/>
          <w:sz w:val="23"/>
          <w:szCs w:val="23"/>
          <w:rtl w:val="0"/>
        </w:rPr>
        <w:t xml:space="preserve">,</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highlight w:val="yellow"/>
          <w:rtl w:val="0"/>
        </w:rPr>
        <w:t xml:space="preserve">con domicilio legal en la calle 51 770, La Plata, Provincia de Buenos Aires,</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 todo ello en base a los antecedentes de hecho y de derecho que a continuación paso a exponer.</w:t>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A">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 Todo ello en base a los antecedentes de hecho y de derecho que a continuación paso a exponer.</w:t>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ENFERMEDAD PROFESIONAL.</w:t>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El suscripto, desarrolla tareas en relación de dependencia para la empresa ESPAVER S.A., CUIT 30-71521776-3, con domicilio en Lamadrid 64, B., Troncos del, de la Provincia de Buenos Aires, desde su fecha de ingreso el 01/04/2023.</w:t>
      </w:r>
    </w:p>
    <w:p w:rsidR="00000000" w:rsidDel="00000000" w:rsidP="00000000" w:rsidRDefault="00000000" w:rsidRPr="00000000" w14:paraId="00000010">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Se desempeñaba en la categoría de Oficial y su jornada laboral habitual era de lunes a viernes, de 08:00 hs a 17:00 hs, posteriormente su jornada se modificó y pasó a ser de lunes a viernes de 06:00 hs a 14:00 hs percibiendo como consecuencia de ello una remuneración mensual aproximada de $487.724.</w:t>
      </w:r>
    </w:p>
    <w:p w:rsidR="00000000" w:rsidDel="00000000" w:rsidP="00000000" w:rsidRDefault="00000000" w:rsidRPr="00000000" w14:paraId="00000011">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Desde que comenzó a trabajar en la empresa, el suscripto ha estado expuesto de forma constante y permanente a múltiples agentes de riesgo que comprometieron su salud ocular, desarrollando tareas íntegramente a la intemperie, sin resguardo bajo techo ni protección estructural frente a la radiación solar directa. </w:t>
      </w:r>
    </w:p>
    <w:p w:rsidR="00000000" w:rsidDel="00000000" w:rsidP="00000000" w:rsidRDefault="00000000" w:rsidRPr="00000000" w14:paraId="00000012">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Sus tareas principales consistían, entre otras, en: mantenimiento y limpieza general de las calles. Como consecuencia de estas tareas, ha permanecido expuesto diariamente al polvo, sol y tierra, permaneciendo durante la totalidad de la jornada laboral bajo radiación solar natural directa, así como a calor, sin provisión de gafas con filtro UV certificado ni elementos de protección ocular adecuados para neutralizar la radiación ultravioleta.</w:t>
      </w:r>
    </w:p>
    <w:p w:rsidR="00000000" w:rsidDel="00000000" w:rsidP="00000000" w:rsidRDefault="00000000" w:rsidRPr="00000000" w14:paraId="00000013">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El agente de riesgo al que estuvo expuesto es la radiación ultravioleta (UV), expresamente contemplada en el Listado de Enfermedades Profesionales aprobado por el Decreto 658/96, en el marco del art. 6 inc. 2 de la Ley 24.557, para actividades desarrolladas a la intemperie.</w:t>
      </w:r>
    </w:p>
    <w:p w:rsidR="00000000" w:rsidDel="00000000" w:rsidP="00000000" w:rsidRDefault="00000000" w:rsidRPr="00000000" w14:paraId="00000014">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La exposición sostenida y continua a dichos agentes de riesgo generó el menoscabo progresivo de su salud. Así, el trabajador comenzó a experimentar y manifestar síntomas consistentes en picazón, ardor, ojos rojos, secreciones, visión borrosa, encandilamiento y la sensación de ver una “telita nasal” en ambos ojos, configurándose la primera manifestación invalidante el día 11 de octubre de 2023.</w:t>
      </w:r>
    </w:p>
    <w:p w:rsidR="00000000" w:rsidDel="00000000" w:rsidP="00000000" w:rsidRDefault="00000000" w:rsidRPr="00000000" w14:paraId="00000015">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Al trabajador se le diagnosticó la existencia de queratoconjuntivitis crónica bilateral, sumada a conjuntivitis, queratitis y pterigion. Conforme informe médico legal suscripto por especialista en oftalmología, en el examen físico de ambos ojos se constató congestión, pigmentaciones y edema conjuntival, secreción y repliegue conjuntival nasal, arribándose a los diagnósticos antes mencionados.</w:t>
      </w:r>
    </w:p>
    <w:p w:rsidR="00000000" w:rsidDel="00000000" w:rsidP="00000000" w:rsidRDefault="00000000" w:rsidRPr="00000000" w14:paraId="00000016">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Estas patologías guardan una relación de causalidad directa con el agente de riesgo radiaciones ultravioletas, en tanto el Decreto 658/96 vincula expresamente dicho agente con afecciones tales como conjuntivitis y queratitis en trabajadores que desarrollan tareas a la intemperie.</w:t>
      </w:r>
    </w:p>
    <w:p w:rsidR="00000000" w:rsidDel="00000000" w:rsidP="00000000" w:rsidRDefault="00000000" w:rsidRPr="00000000" w14:paraId="00000017">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Como consecuencia de la enfermedad profesional, el trabajador padece actualmente molestias oculares, visión borrosa, déficit de campo visual y disminución de la agudeza visual.</w:t>
      </w:r>
    </w:p>
    <w:p w:rsidR="00000000" w:rsidDel="00000000" w:rsidP="00000000" w:rsidRDefault="00000000" w:rsidRPr="00000000" w14:paraId="00000018">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Ante la manifestación de la enfermedad y el consecuente diagnóstico, se formalizó la denuncia ante la Aseguradora de Riesgos del Trabajo, FEDERACION PATRONAL SEGUROS S.A.</w:t>
      </w:r>
    </w:p>
    <w:p w:rsidR="00000000" w:rsidDel="00000000" w:rsidP="00000000" w:rsidRDefault="00000000" w:rsidRPr="00000000" w14:paraId="00000019">
      <w:pPr>
        <w:spacing w:after="0" w:lineRule="auto"/>
        <w:ind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No obstante, el día 07 de noviembre de 2025, la ART notificó al trabajador el rechazo de la contingencia por considerar que la enfermedad denunciada no se encuentra incluida en el listado de enfermedades profesionales cubiertas por la Ley de Riesgos del Trabajo, criterio que resulta improcedente en tanto se encuentran configurados en el caso el agente de riesgo previsto normativamente, la actividad laboral generadora de exposición y la patología compatible derivada de dicha exposición.</w:t>
      </w:r>
    </w:p>
    <w:p w:rsidR="00000000" w:rsidDel="00000000" w:rsidP="00000000" w:rsidRDefault="00000000" w:rsidRPr="00000000" w14:paraId="0000001A">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sumido, pues veía cómo la ART se burlaba de su situación, negándole la posibilidad de un tratamiento digno y de su derecho a contar con un diagnóstico preciso de las lesiones.</w:t>
      </w:r>
    </w:p>
    <w:p w:rsidR="00000000" w:rsidDel="00000000" w:rsidP="00000000" w:rsidRDefault="00000000" w:rsidRPr="00000000" w14:paraId="0000001C">
      <w:pPr>
        <w:tabs>
          <w:tab w:val="left" w:leader="none" w:pos="708"/>
          <w:tab w:val="left" w:leader="none" w:pos="3360"/>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Lo cierto es que la ART, en el afán de reducir los costos que supone una rehabilitación correcta, brindó de manera deficiente las prestaciones en especie que estaban a su cargo, lo que ocasionó que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padezca, en la actualidad, secuelas que pudieron evitarse. </w:t>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puede afirmarse que como consecuencia de la enfermedad profesional sufrida y, sobre todo, del pésimo accionar de la ART demandada,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quedó en una situación física delicada. Asimismo, tampoco puede trabajar normalmente. En definitiva, no puede llevar una vida normal.</w:t>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1">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Asimismo, el trabajador presenta una afectación psíquica directamente vinculada al evento traumático sufrido, que se manifiesta, entre otros síntomas, en alteraciones del sueño, temores persistentes, conductas evitativas, malestar psicológico significativo frente a estímulos asociados al hecho y sintomatología ansioso-depresiva, todo lo cual ha impactado de manera concreta en su vida cotidiana y desempeño habitual.</w:t>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Dichas secuelas psíquicas deberán ser debidamente evaluadas y ponderadas conforme la normativa vigente en materia de valoración del daño a la salud, atendiendo a la entidad del evento, a la evolución del cuadro y a la afectación real producida, sin perjuicio de dejar planteada la reserva de cuestionar la razonabilidad y constitucionalidad de los criterios restrictivos actualmente previstos para la determinación de incapacidad psíquica. Las consecuencias descriptas resultan indemnizables y deben ser resarcidas por la aseguradora de riesgos demandada.</w:t>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resulte de la evaluación médica correspondiente, las secuelas oculares que presenta el trabajador resultan compatibles, en esta instancia, con una eventual incapacidad laboral derivada de afección visual por exposición crónica a radiación ultravioleta, conforme los parámetros de evaluación de la función visual previstos en el Baremo de Evaluación de Incapacidades aprobado por el Decreto 549/25, cuya cuantificación definitiva deberá determinarse mediante la evaluación oftalmológica integral pertinente, incluyendo medición de agudeza visual y demás estudios complementarios que la Comisión Médica estime conducentes.</w:t>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Las secuelas descriptas se encuentran respaldadas en la documentación médica que se acompaña, la cual da cuenta de la evolución clínica del cuadro y de las limitaciones funcionales persistentes.</w:t>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w:t>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síntesis la normativa cuya constitucionalidad se cuestiona viola los artículos 16 (igualdad ante la ley), 14 y 17 (derecho de propiedad), art. 18 (garantía del debido proceso), y 29 (principio de la división de poderes) de la Constitución Nacional. </w:t>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dicha norma,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no puede pasarse las disposiciones de los Art 1º y 2º de la ley 27.348, y de la resolución 298/17 de la S.R.T., por el tamiz de la ley 24.635 – conciliación laborar – para asimilar el procedimiento ante las CCMM, con el que establece la última norma citada, tal cual como pretende el P.E., a través del Ministerio de Trabajo, conforme la reciente instrucción emitida a los conciliadores que conforman el SECLO – (por el Sr. Director de Relaciones individuales del Ministerio de Trabajo de la Nación), por el cual se los instruye a no celebrar audiencias para conflictos entre privados, derivados de accidentes o enfermedades del trabajo cuya ocurrencia fuera posterior al 1/3/2017, debiendo el trabajador iniciarlos ante la S.R.T., basando dicha instrucción en la normativa que emana del Art 1º de la ley 27.348 y la Resolución 298/17 S.R.T.  En virtud del texto legal de esta última, carece de sentido jurídico pensar al trámite obligatorio que manda el mentado Art 1º de la ley complementaria de riesgos del trabajo, como un SECLO con pericia médica, tal posición es forzar hasta el absurdo la disposición del artículo atacado y las disposiciones de la Res 298/17 S.R.T.</w:t>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 primero que hay que aclarar es que uno y otro proceso administrativo previo a la instancia judicial poseen naturaleza jurídica distinta.</w:t>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instancia instruida por la ley 24.635, tiene por objeto establecer el ámbito propicio para acercar las partes a través de un instrumento como lo es la mediación de un tercero imparcial – (conciliador) – con el fin que puedan entre las mismas en forma negociada, arribar a un acuerdo conciliatorio del conflicto laboral existente sin reconocer hechos y derecho y a ese solo efecto, con los límites que impone el orden público laboral.</w:t>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Mientras que el trámite ante la CCMM, se trata de un verdadero proceso jurisdiccional, lo cual se evidencia en forma notoria a través dictado de la resolución 298/17 de la S.R.T., que reglamenta el proceso ante las mismas. Como se viene citando y conforme surge de nuestro plexo normativo constitucional, solo el poder judicial posee facultades jurisdiccionales. Los Art 7º, 8º y 9º, de la resolución en cuestión establece reglas propias de un proceso judicial - que en nada tienen que ver con un organismo médico administrativo al que originariamente la ley le otorga atribuciones para determinar la incapacidad del trabajador y su relación causal con un accidente y/o enfermedad del trabajo -, facultando a los médicos </w:t>
      </w:r>
      <w:r w:rsidDel="00000000" w:rsidR="00000000" w:rsidRPr="00000000">
        <w:rPr>
          <w:rFonts w:ascii="Microsoft New Tai Lue" w:cs="Microsoft New Tai Lue" w:eastAsia="Microsoft New Tai Lue" w:hAnsi="Microsoft New Tai Lue"/>
          <w:b w:val="1"/>
          <w:bCs w:val="1"/>
          <w:sz w:val="23"/>
          <w:szCs w:val="23"/>
          <w:rtl w:val="0"/>
        </w:rPr>
        <w:t xml:space="preserve">a resolver cual si fueran jueces de la Nación o de las Provincias,</w:t>
      </w:r>
      <w:r w:rsidDel="00000000" w:rsidR="00000000" w:rsidRPr="00000000">
        <w:rPr>
          <w:rFonts w:ascii="Microsoft New Tai Lue" w:cs="Microsoft New Tai Lue" w:eastAsia="Microsoft New Tai Lue" w:hAnsi="Microsoft New Tai Lue"/>
          <w:sz w:val="23"/>
          <w:szCs w:val="23"/>
          <w:rtl w:val="0"/>
        </w:rPr>
        <w:t xml:space="preserve"> lo que muestra evidentemente una nueva violación mediante la mencionada  Res 298/17 S.R.T, del Art. 99 inc 2º de la C.N. en un exceso de las facultades y atribuciones reglamentarias del P.E.</w:t>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señalados de la Res 298/17 S.R.T, muestran con claridad inobjetable que las CCMM resultan organismos federales administrativos a los que se les da, en total violación del orden constitucional, facultades jurisdiccionales que son propias del Poder Judicial, en este caso particular de la Justicia del Trabajo. Esto tacha de inconstitucional la resolución en cuestión y obviamente por carácter jerárquico a los Art 1º y 2º de la ley 27.348.</w:t>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Así, entre otras cuestiones, el Art 7º de la resolución de la S.R.T. atacada, impone al trabajador la obligación de ofrecer prueba y concede a las CCMM, facultad para rechazar la prueba ofrecida por el trabajador que se considere manifiestamente improcedente, superflua o meramente dilatoria. Igualmente le concede a las CCMM disponer de oficio la producción de prueba respecto de los hechos invocados y </w:t>
      </w:r>
      <w:r w:rsidDel="00000000" w:rsidR="00000000" w:rsidRPr="00000000">
        <w:rPr>
          <w:rFonts w:ascii="Microsoft New Tai Lue" w:cs="Microsoft New Tai Lue" w:eastAsia="Microsoft New Tai Lue" w:hAnsi="Microsoft New Tai Lue"/>
          <w:sz w:val="23"/>
          <w:szCs w:val="23"/>
          <w:u w:val="single"/>
          <w:rtl w:val="0"/>
        </w:rPr>
        <w:t xml:space="preserve">que considere conducentes para resolver</w:t>
      </w:r>
      <w:r w:rsidDel="00000000" w:rsidR="00000000" w:rsidRPr="00000000">
        <w:rPr>
          <w:rFonts w:ascii="Microsoft New Tai Lue" w:cs="Microsoft New Tai Lue" w:eastAsia="Microsoft New Tai Lue" w:hAnsi="Microsoft New Tai Lue"/>
          <w:sz w:val="23"/>
          <w:szCs w:val="23"/>
          <w:rtl w:val="0"/>
        </w:rPr>
        <w:t xml:space="preserve">, - el subrayado fue puesto por quien suscribe -, así como el mencionado artículo faculta a las CCMM para resolver el conflicto planteado, a solicitar la asistencia de servicios profesionales o de organismos técnicos para que se expidan sobre áreas ajenas a su competencia profesional. Es notorio como mediante este artículo de la Res 298/2017 S.R.T., se le arroga a un organismo médico administrativo federal facultades jurisdiccionales propias y exclusivas del Poder Judicial, lo cual pone en evidencia la ilegitimidad de las CCMM y su violación de los derechos y garantías constitucionales del suscripto.</w:t>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no se debe olvidar, como ya se señaló precedentemente, que mediante esta reglamentación se compele al suscripto a someterse a los exámenes médicos que indique la Comisión Médica. Ya que se dispone que en caso de que aquél dificultare la revisación o la realización de estudios complementarios, la Comisión Médica dictaminará conforme a los antecedentes que tuviere en su poder.</w:t>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8º de la resolución en cuestión reglamenta la posibilidad que el trabajador brinde un alegato de la prueba ofrecida o de aquellas “medidas para mejor proveer” producidas por disposición de la CCMM – lo encomillado es textual del Art 8º de la Res 298/2017 S.R.T. </w:t>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estas observación como se dijo surge sin dubitación alguna, la notoria diferencia entre la naturaleza jurídica del trámite de conciliación, al cual y conforme Art 1º de la ley 24.365, debe someterse en el ámbito de los casos bajo competencia de la Justicia Nacional del Trabajo, un conflicto suscitado por un accidente o enfermedad del trabajo – a contrario de lo instruido recientemente por el SECLO, en un claro exceso reglamentario que viola la manda constitucional , (Art 99 inc 2º) –, con el proceso administrativo que ordenan los Art 21 y 22 de la ley 24.557 (reglamentado por el Dec 1475/15), y que hoy se reafirma por medio de los Art 1º y 2º de la ley 27.348 y que reglamente la resolución 298/17 S.R.T., que hacen jurídicamente imposible intentar asimilar conceptualmente un procedimiento al otro. Como nota de color – lo cual no es un detalle menor -, mientras que para llevar adelante la conciliación – (ley 24.635) – se requiere como requisito ser abogado, para el trámite ante las CCMM, se debe poseer título de médico.</w:t>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el trámite de conciliación básicamente procura que las partes puedan - mediante un negociación ante un tercero imparcial  -, poner fin a su diferendo en temas relacionados con el derecho del trabajo, sin necesidad de acreditar mediante prueba ninguna posición, y en consecuencia no limita o restringe el libre y directo acceso a la justicia, incluso la partes pueden desistir en la primera audiencia de toda negociación, e iniciar en forma inmediata el litigio judicial, con todas las garantías del debido proceso, doble instancia, juez natural e imparcial, lo que a su vez asegura garantías constitucionales inclaudicables como el principio de igualdad y de defensa.</w:t>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Cuerpo Médico Forense Nacional fue creado y atiende especialmente los requerimientos de la justicia criminal nacional y federal. En el marco de la provincia de Buenos Aires, el mismos está destinado principalmente a atender causas de la justicia criminal, y de familia – (en este último fuero dándole mayor relevancia a los casos de salud mental) – la acordada 2681/13  de la S.C.B.A, da los lineamientos generales para la intervención de peritos, de la cual se observa con claridad que tiende a organizar a la asesoría pericial hacia el fuero criminal y de familia, lo mismo que hace la acordada 2389/2012, así como demás acordadas dictadas a tal efecto.</w:t>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caso de la C.S.J.N dictó la Acordada 47/09 del 15/12/2009.  Él artículo segundo del Reglamento de dicha acordada establece que salvo los magistrados del fuero criminal, los jueces de los restantes fueros sólo “excepcionalmente podrán requerir la intervención pericial del Cuerpo Médico Forense cuando medien notorias razones de urgencia, pobreza e interés público debidamente acreditadas o cuando las circunstancias particulares del caso hicieran necesario su asesoramiento” . Agregándose que en estos casos el magistrado elevará el pedido a la Cámara de Apelaciones del Fuero respectivo mediante resolución fundada, y éstas resolverán acerca de la procedencia de la excepcionalidad invocada, debiendo informar mensualmente a la Corte Suprema sobre la “intervención excepcional del Cuerpo Médico Forense y la decisión que se tomó al respecto”. </w:t>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disposición del párrafo quinto del artículo segundo de la ley 27.348, va en contra mano con la citada acordada de la C.S.J.N, así como con las acordadas de la S.C.B.A, violentando como se citó el Art 113 de la C.N. </w:t>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acordada de la corte nacional no resulta caprichosa, o falta de fundamento, la misma apunta a no saturar el trabajo del cuerpo médico forense en la inteligencia de no impedir su actuación, rápida, eficaz y certera en causa criminales y federales en las que su actuación es de vital importancia para su resolución, distrayéndolo con actividades provenientes de otros fueros, que bien pueden ser suplidas por perito auxiliares de la justicia, seleccionados conforme reglamentos establecidos por los propios tribunales supremos y que resultan imparciales a las partes y al proceso, no comprometiendo las garantías constitucionales de los contendientes.</w:t>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otras palabras la intervención obligatoria de los peritos de la asesoría pericial en todas las causas que refieran a cuestiones regidas por las leyes 24.557 y 26.773, producirá una demora innecesaria en la buena administración de justicia, ocasionando un cuello de botella que hará, que las causas laborales puedan resultar cuasi interminables, por la sola falta de la pericia médica, indispensable para resolver el litigio entre otras cosas porque la incapacidad determinada resulta fundamental para calcular el monto indemnizatorio que le corresponde al suscripto. (Art 14, 15 y ss Ley 24.557).</w:t>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no se puede dejar de considerar la experiencia en la praxis judicial respecto de las demoras en los pronunciamientos y las características de los dictámenes oficiales en los juicios laborales, así como fueron históricamente –y salvo excepciones que debe reconocerse– altamente restrictivos en el tratamiento de las incapacidades laborales y en el análisis de la relación de causalidad entre tareas y daños. </w:t>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menor la determinación de los honorarios de los peritos conforme la Ley 27.348, ya que la SCBA lo ha previsto en forma diferente mediante la acordada 1774/06 entre otras, así de esta forma una vez más de la ley 27.348, violenta la manda del Art. 113 de la C.N. </w:t>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TAMBIEN SE DEJA PLANTEADA la inconstitucionalidad de los Art. 9 ley 26.773 y Art. 2º decimo párrafo de la ley 27.348, en cuanto los mismos disponen la aplicación del Baremo previsto como Anexo I del Decreto 658/96 y a la Tabla de Evaluación de Incapacidades prevista como Anexo I del Decreto 659/96 y sus modificatorio, solicitando la aplicación del baremo más adecuado al caso concreto, atento afectar el derecho de defensa en juicio e igualdad ante la ley.</w:t>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9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9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9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A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A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A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A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A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A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A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A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F">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B0">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B1">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8">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B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BB">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C">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BD">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BE">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BF">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C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D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D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D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D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XIX – RESERVA CASO FEDERAL</w:t>
      </w:r>
    </w:p>
    <w:p w:rsidR="00000000" w:rsidDel="00000000" w:rsidP="00000000" w:rsidRDefault="00000000" w:rsidRPr="00000000" w14:paraId="000001D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DE">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AUTORIZA</w:t>
      </w:r>
    </w:p>
    <w:p w:rsidR="00000000" w:rsidDel="00000000" w:rsidP="00000000" w:rsidRDefault="00000000" w:rsidRPr="00000000" w14:paraId="000001E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E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María Luz Torres Santiago, Federico Adrián D´Arezzo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E2">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E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DERECHO</w:t>
      </w:r>
    </w:p>
    <w:p w:rsidR="00000000" w:rsidDel="00000000" w:rsidP="00000000" w:rsidRDefault="00000000" w:rsidRPr="00000000" w14:paraId="000001E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E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nuestra parte en lo dispuesto por la ley 24.557, Ley 18.345, decreto ley 1694/2009, Ley 26.773, Ley 27.348; Constitución Nacional, jurisprudencia y normativa aplicable al caso, especialmente "Fallo Castillo" y doctrina citada en el transcurso de la presente demanda. </w:t>
      </w:r>
    </w:p>
    <w:p w:rsidR="00000000" w:rsidDel="00000000" w:rsidP="00000000" w:rsidRDefault="00000000" w:rsidRPr="00000000" w14:paraId="000001E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E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 – PRUEBA</w:t>
      </w:r>
    </w:p>
    <w:p w:rsidR="00000000" w:rsidDel="00000000" w:rsidP="00000000" w:rsidRDefault="00000000" w:rsidRPr="00000000" w14:paraId="000001E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30" w:right="0" w:hanging="360"/>
        <w:jc w:val="both"/>
        <w:rPr>
          <w:rFonts w:ascii="Microsoft New Tai Lue" w:cs="Microsoft New Tai Lue" w:eastAsia="Microsoft New Tai Lue" w:hAnsi="Microsoft New Tai Lue"/>
          <w:b w:val="1"/>
          <w:bCs w:val="1"/>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single"/>
          <w:vertAlign w:val="baseline"/>
          <w:rtl w:val="0"/>
        </w:rPr>
        <w:t xml:space="preserve">Documental</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30" w:right="0" w:firstLine="0"/>
        <w:jc w:val="both"/>
        <w:rPr>
          <w:rFonts w:ascii="Microsoft New Tai Lue" w:cs="Microsoft New Tai Lue" w:eastAsia="Microsoft New Tai Lue" w:hAnsi="Microsoft New Tai Lue"/>
          <w:b w:val="1"/>
          <w:bCs w:val="1"/>
          <w:i w:val="0"/>
          <w:iCs w:val="0"/>
          <w:smallCaps w:val="0"/>
          <w:strike w:val="0"/>
          <w:color w:val="000000"/>
          <w:sz w:val="23"/>
          <w:szCs w:val="23"/>
          <w:u w:val="single"/>
          <w:vertAlign w:val="baseline"/>
        </w:rPr>
      </w:pPr>
      <w:r w:rsidDel="00000000" w:rsidR="00000000" w:rsidRPr="00000000">
        <w:rPr>
          <w:rtl w:val="0"/>
        </w:rPr>
      </w:r>
    </w:p>
    <w:p w:rsidR="00000000" w:rsidDel="00000000" w:rsidP="00000000" w:rsidRDefault="00000000" w:rsidRPr="00000000" w14:paraId="000001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 xml:space="preserve">DNI </w:t>
      </w: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highlight w:val="yellow"/>
          <w:u w:val="none"/>
          <w:vertAlign w:val="baseline"/>
          <w:rtl w:val="0"/>
        </w:rPr>
        <w:t xml:space="preserve">del suscripto.</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Recibos de Sueldo</w:t>
      </w: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highlight w:val="yellow"/>
          <w:u w:val="none"/>
          <w:vertAlign w:val="baseline"/>
          <w:rtl w:val="0"/>
        </w:rPr>
        <w:t xml:space="preserve"> del suscripto.</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Formulario de Patrocinio Letrado.</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Formulario de Opción de Competencia.</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DNI y matrícula del abogado patrocinante</w:t>
      </w:r>
      <w:r w:rsidDel="00000000" w:rsidR="00000000" w:rsidRPr="00000000">
        <w:rPr>
          <w:rFonts w:ascii="Microsoft New Tai Lue" w:cs="Microsoft New Tai Lue" w:eastAsia="Microsoft New Tai Lue" w:hAnsi="Microsoft New Tai Lue"/>
          <w:sz w:val="23"/>
          <w:szCs w:val="23"/>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highlight w:val="yellow"/>
          <w:u w:val="none"/>
          <w:vertAlign w:val="baseline"/>
        </w:rPr>
      </w:pPr>
      <w:r w:rsidDel="00000000" w:rsidR="00000000" w:rsidRPr="00000000">
        <w:rPr>
          <w:rFonts w:ascii="Microsoft New Tai Lue" w:cs="Microsoft New Tai Lue" w:eastAsia="Microsoft New Tai Lue" w:hAnsi="Microsoft New Tai Lue"/>
          <w:sz w:val="23"/>
          <w:szCs w:val="23"/>
          <w:rtl w:val="0"/>
        </w:rPr>
        <w:t xml:space="preserve">vi)       CD de rechazo de la enfermedad profesional </w:t>
      </w:r>
      <w:r w:rsidDel="00000000" w:rsidR="00000000" w:rsidRPr="00000000">
        <w:rPr>
          <w:rFonts w:ascii="Microsoft New Tai Lue" w:cs="Microsoft New Tai Lue" w:eastAsia="Microsoft New Tai Lue" w:hAnsi="Microsoft New Tai Lue"/>
          <w:sz w:val="23"/>
          <w:szCs w:val="23"/>
          <w:highlight w:val="yellow"/>
          <w:rtl w:val="0"/>
        </w:rPr>
        <w:t xml:space="preserve">de fecha 07/11/2025</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1"/>
          <w:bCs w:val="1"/>
          <w:i w:val="0"/>
          <w:iCs w:val="0"/>
          <w:smallCaps w:val="0"/>
          <w:strike w:val="0"/>
          <w:color w:val="000000"/>
          <w:sz w:val="23"/>
          <w:szCs w:val="23"/>
          <w:u w:val="singl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ab/>
      </w: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single"/>
          <w:vertAlign w:val="baseline"/>
          <w:rtl w:val="0"/>
        </w:rPr>
        <w:t xml:space="preserve">B. Documental en poder de la demandada</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ab/>
        <w:t xml:space="preserve">Se solicita que se intime a LA ART, bajo apercibimiento de lo dispuesto en el art. 388 del C.P.C.C., a acompañar al presente expediente todas las constancias médicas e Historia Clínica de la atención médica del suscripto con motivo de</w:t>
      </w:r>
      <w:r w:rsidDel="00000000" w:rsidR="00000000" w:rsidRPr="00000000">
        <w:rPr>
          <w:rFonts w:ascii="Microsoft New Tai Lue" w:cs="Microsoft New Tai Lue" w:eastAsia="Microsoft New Tai Lue" w:hAnsi="Microsoft New Tai Lue"/>
          <w:sz w:val="23"/>
          <w:szCs w:val="23"/>
          <w:rtl w:val="0"/>
        </w:rPr>
        <w:t xml:space="preserve"> la enfermedad profesional </w:t>
      </w: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denunciad</w:t>
      </w:r>
      <w:r w:rsidDel="00000000" w:rsidR="00000000" w:rsidRPr="00000000">
        <w:rPr>
          <w:rFonts w:ascii="Microsoft New Tai Lue" w:cs="Microsoft New Tai Lue" w:eastAsia="Microsoft New Tai Lue" w:hAnsi="Microsoft New Tai Lue"/>
          <w:sz w:val="23"/>
          <w:szCs w:val="23"/>
          <w:rtl w:val="0"/>
        </w:rPr>
        <w:t xml:space="preserve">a</w:t>
      </w: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 xml:space="preserve">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1"/>
          <w:bCs w:val="1"/>
          <w:i w:val="0"/>
          <w:iCs w:val="0"/>
          <w:smallCaps w:val="0"/>
          <w:strike w:val="0"/>
          <w:color w:val="000000"/>
          <w:sz w:val="23"/>
          <w:szCs w:val="23"/>
          <w:u w:val="singl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ab/>
      </w: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single"/>
          <w:vertAlign w:val="baseline"/>
          <w:rtl w:val="0"/>
        </w:rPr>
        <w:t xml:space="preserve">C. Informativa en subsidio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Microsoft New Tai Lue" w:cs="Microsoft New Tai Lue" w:eastAsia="Microsoft New Tai Lue" w:hAnsi="Microsoft New Tai Lue"/>
          <w:b w:val="1"/>
          <w:bCs w:val="1"/>
          <w:i w:val="0"/>
          <w:iCs w:val="0"/>
          <w:smallCaps w:val="0"/>
          <w:strike w:val="0"/>
          <w:color w:val="000000"/>
          <w:sz w:val="23"/>
          <w:szCs w:val="23"/>
          <w:u w:val="single"/>
          <w:vertAlign w:val="baseline"/>
        </w:rPr>
      </w:pPr>
      <w:r w:rsidDel="00000000" w:rsidR="00000000" w:rsidRPr="00000000">
        <w:rPr>
          <w:rFonts w:ascii="Microsoft New Tai Lue" w:cs="Microsoft New Tai Lue" w:eastAsia="Microsoft New Tai Lue" w:hAnsi="Microsoft New Tai Lue"/>
          <w:b w:val="0"/>
          <w:bCs w:val="0"/>
          <w:i w:val="0"/>
          <w:iCs w:val="0"/>
          <w:smallCaps w:val="0"/>
          <w:strike w:val="0"/>
          <w:color w:val="000000"/>
          <w:sz w:val="23"/>
          <w:szCs w:val="23"/>
          <w:u w:val="none"/>
          <w:vertAlign w:val="baseline"/>
          <w:rtl w:val="0"/>
        </w:rPr>
        <w:tab/>
      </w: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none"/>
          <w:vertAlign w:val="baseline"/>
          <w:rtl w:val="0"/>
        </w:rPr>
        <w:tab/>
      </w:r>
      <w:r w:rsidDel="00000000" w:rsidR="00000000" w:rsidRPr="00000000">
        <w:rPr>
          <w:rFonts w:ascii="Microsoft New Tai Lue" w:cs="Microsoft New Tai Lue" w:eastAsia="Microsoft New Tai Lue" w:hAnsi="Microsoft New Tai Lue"/>
          <w:b w:val="1"/>
          <w:bCs w:val="1"/>
          <w:i w:val="0"/>
          <w:iCs w:val="0"/>
          <w:smallCaps w:val="0"/>
          <w:strike w:val="0"/>
          <w:color w:val="000000"/>
          <w:sz w:val="23"/>
          <w:szCs w:val="23"/>
          <w:u w:val="single"/>
          <w:vertAlign w:val="baseline"/>
          <w:rtl w:val="0"/>
        </w:rPr>
        <w:t xml:space="preserve">D. Prueba Pericial</w:t>
      </w:r>
    </w:p>
    <w:p w:rsidR="00000000" w:rsidDel="00000000" w:rsidP="00000000" w:rsidRDefault="00000000" w:rsidRPr="00000000" w14:paraId="000001F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i w:val="1"/>
          <w:iCs w:val="1"/>
          <w:sz w:val="23"/>
          <w:szCs w:val="23"/>
          <w:rtl w:val="0"/>
        </w:rPr>
        <w:t xml:space="preserve">a.- Sobre las lesiones oculares sufridas por el suscripto.-</w:t>
      </w:r>
    </w:p>
    <w:p w:rsidR="00000000" w:rsidDel="00000000" w:rsidP="00000000" w:rsidRDefault="00000000" w:rsidRPr="00000000" w14:paraId="00000200">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 Describa con prolijidad las secuelas que adolece. </w:t>
      </w:r>
    </w:p>
    <w:p w:rsidR="00000000" w:rsidDel="00000000" w:rsidP="00000000" w:rsidRDefault="00000000" w:rsidRPr="00000000" w14:paraId="00000201">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ii. Indique si la enfermedad profesional relatada en la demanda, es factible de causar las lesiones que presenta. </w:t>
      </w:r>
    </w:p>
    <w:p w:rsidR="00000000" w:rsidDel="00000000" w:rsidP="00000000" w:rsidRDefault="00000000" w:rsidRPr="00000000" w14:paraId="00000202">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iii. Diagnóstico, etiología, evolución del proceso, pronóstico y tratamiento de la incapacidad del suscripto. </w:t>
      </w:r>
    </w:p>
    <w:p w:rsidR="00000000" w:rsidDel="00000000" w:rsidP="00000000" w:rsidRDefault="00000000" w:rsidRPr="00000000" w14:paraId="00000203">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iv. Somera descripción de los estudios realizados para arribar al diagnóstico del estado actual del accionante. </w:t>
      </w:r>
    </w:p>
    <w:p w:rsidR="00000000" w:rsidDel="00000000" w:rsidP="00000000" w:rsidRDefault="00000000" w:rsidRPr="00000000" w14:paraId="00000204">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 Determine el grado de incapacidad del suscripto, teniendo en cuenta su profesión habitual y posibilidad de inserción en el mercado laboral. </w:t>
      </w:r>
    </w:p>
    <w:p w:rsidR="00000000" w:rsidDel="00000000" w:rsidP="00000000" w:rsidRDefault="00000000" w:rsidRPr="00000000" w14:paraId="00000205">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 Informe si la incapacidad es transitoria o permanente. </w:t>
      </w:r>
    </w:p>
    <w:p w:rsidR="00000000" w:rsidDel="00000000" w:rsidP="00000000" w:rsidRDefault="00000000" w:rsidRPr="00000000" w14:paraId="00000206">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vii. Indique la posibilidad de agravamiento de su incapacidad. </w:t>
      </w:r>
    </w:p>
    <w:p w:rsidR="00000000" w:rsidDel="00000000" w:rsidP="00000000" w:rsidRDefault="00000000" w:rsidRPr="00000000" w14:paraId="00000207">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viii. Indique si como consecuencia de las secuelas padecidas el suscripto se encuentra en condiciones de aprobar un examen pre ocupacional en forma satisfactoria. </w:t>
      </w:r>
    </w:p>
    <w:p w:rsidR="00000000" w:rsidDel="00000000" w:rsidP="00000000" w:rsidRDefault="00000000" w:rsidRPr="00000000" w14:paraId="00000208">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ix. Si las lesiones padecidas afectan, además de la capacidad laboral de la víctima, su vida de relación, afectiva, deportiva, social, etc.; es decir, si afectan su humanidad. </w:t>
      </w:r>
    </w:p>
    <w:p w:rsidR="00000000" w:rsidDel="00000000" w:rsidP="00000000" w:rsidRDefault="00000000" w:rsidRPr="00000000" w14:paraId="00000209">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 Que agudeza visual tiene el actor, y que incapacidad física genera la misma. </w:t>
      </w:r>
    </w:p>
    <w:p w:rsidR="00000000" w:rsidDel="00000000" w:rsidP="00000000" w:rsidRDefault="00000000" w:rsidRPr="00000000" w14:paraId="0000020A">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xi.Que incapacidad física por déficit de campo visual presenta el actor según el baremo de la ley 24.557. </w:t>
      </w:r>
    </w:p>
    <w:p w:rsidR="00000000" w:rsidDel="00000000" w:rsidP="00000000" w:rsidRDefault="00000000" w:rsidRPr="00000000" w14:paraId="0000020B">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xii.Que incapacidad física oftalmológica total padece el actor </w:t>
      </w:r>
    </w:p>
    <w:p w:rsidR="00000000" w:rsidDel="00000000" w:rsidP="00000000" w:rsidRDefault="00000000" w:rsidRPr="00000000" w14:paraId="0000020C">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xii. Análisis del mecanismo de la enfermedad profesional y su compatibilidad con las lesiones oculares observadas. </w:t>
      </w:r>
    </w:p>
    <w:p w:rsidR="00000000" w:rsidDel="00000000" w:rsidP="00000000" w:rsidRDefault="00000000" w:rsidRPr="00000000" w14:paraId="0000020D">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xvi. Evaluación del campo visual y cuantificación del déficit visual, si lo hubiere. xvii. indique cual era el miembro hábil del suscripto. </w:t>
      </w:r>
    </w:p>
    <w:p w:rsidR="00000000" w:rsidDel="00000000" w:rsidP="00000000" w:rsidRDefault="00000000" w:rsidRPr="00000000" w14:paraId="0000020E">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F">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10">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2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2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 la enfermedad profesional de marras. Indique los sufrimientos padecidos con motivo de la enfermedad profesional. </w:t>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2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2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2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2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la enfermedad profesional que motiva esta demanda. Caso afirmativo, estímela en un porcentaje sobre el total, teniendo en consideración a la persona en su integridad.</w:t>
      </w:r>
    </w:p>
    <w:p w:rsidR="00000000" w:rsidDel="00000000" w:rsidP="00000000" w:rsidRDefault="00000000" w:rsidRPr="00000000" w14:paraId="0000021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20">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p>
    <w:p w:rsidR="00000000" w:rsidDel="00000000" w:rsidP="00000000" w:rsidRDefault="00000000" w:rsidRPr="00000000" w14:paraId="00000222">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23">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XXIII – PETITORIO</w:t>
      </w:r>
    </w:p>
    <w:p w:rsidR="00000000" w:rsidDel="00000000" w:rsidP="00000000" w:rsidRDefault="00000000" w:rsidRPr="00000000" w14:paraId="0000022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2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2D">
      <w:pPr>
        <w:spacing w:after="0" w:lineRule="auto"/>
        <w:jc w:val="both"/>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2E">
      <w:pPr>
        <w:ind w:firstLine="1440"/>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