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hski3c9zr0ur"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LEFIN LUIS ANGEL, DNI 31.166.148</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Ricardo Palma 612, Localidad de Lomas de Zamora,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RAMIRO MENDEZ CASARIEGO</w:t>
      </w:r>
      <w:r w:rsidDel="00000000" w:rsidR="00000000" w:rsidRPr="00000000">
        <w:rPr>
          <w:rFonts w:ascii="Microsoft New Tai Lue" w:cs="Microsoft New Tai Lue" w:eastAsia="Microsoft New Tai Lue" w:hAnsi="Microsoft New Tai Lue"/>
          <w:sz w:val="23"/>
          <w:szCs w:val="23"/>
          <w:rtl w:val="0"/>
        </w:rPr>
        <w:t xml:space="preserve">, abogado inscripto al T° 111 F° 879 del CPACF, Monotributista (CUIT 20-32323166-5), constituyendo domicilio en Avda. Corrientes 1312, piso 12° Of. "30", C.A.B.A. (Zona N° 114; Tel: 5368-2730; email: ramiro@mcvg.com.ar),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accidente de trabajo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ASOCIART S.A ASEGURADORA DE RIESGOS DEL TRABAJO</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con domicilio en la calle Leandro N. Alem 601/ 621, CABA,</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b w:val="1"/>
          <w:bCs w:val="1"/>
          <w:sz w:val="23"/>
          <w:szCs w:val="23"/>
          <w:highlight w:val="green"/>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ACCIDENTE DE TRABAJO.</w:t>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Sr. Osinaga Vargas desarrolla tareas en relación de dependencia para la empresa IWIN ABERTURAS S.A, CUIT 30-71666114-4, con domicilio en Coronel Ramón L. Falcón 6325, Piso 1, Departamento A, de la Ciudad Autónoma de Buenos Aires, desde su fecha de ingreso en perfecto estado de salud el 01/10/2017, hasta la fecha del accidente.</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mantenimiento de ascensores. Su jornada laboral es de lunes a viernes, de 07:00hs a 16:00hs. Percibiendo como consecuencia de ello una remuneración mensual aproximada de $509.077.-</w:t>
      </w:r>
    </w:p>
    <w:p w:rsidR="00000000" w:rsidDel="00000000" w:rsidP="00000000" w:rsidRDefault="00000000" w:rsidRPr="00000000" w14:paraId="00000010">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se dijo antes, entró a trabajar en perfecto estado de salud, pero lamentablemente su situación cambió el día 10/02/2025 debido al terrible accidente que sufrió. </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El día del accidente, mientras se encontraba desarrollando sus labores diarias. El Sr. Osinaga Vargas estaba realizando tareas operativas, levantando refuerzos de hierro y perforando caños. Esto, al ser una tarea repetitiva en la cual debía permanecer en la misma posición, desencadenó un fuerte dolor de cintura.</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 raíz del dolor, dio aviso a su encargado, quien le indicó que si la molestia persistía, al otro día harían la correspondiente denuncia a la ART. </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Al día siguiente, al ver que su condición solamente empeoro, sus empleadores realizaron la denuncia en la ART. Una vez derivado allí, le hicieron resonancias y radiografías de la cintura. Además, le prescribieron 5 sesiones de kinesiología. </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Finalmente, el día 25 de febrero de 2025, se le otorgó el Alta Médica. Sin embargo, el trabajador no se sentía listo y continuaba presentando molestias en la zona afectada. </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A pesar del alta médica, persiste con dolores que le dificultan realizar actividades cotidianas y afectan significativamente su calidad de vida. Por ejemplo, no puede caminar por mucho tiempo y tiene dificultades para dormir o estar sentado.</w:t>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16">
      <w:pPr>
        <w:spacing w:after="0" w:lineRule="auto"/>
        <w:ind w:firstLine="1134"/>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8">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padezca, en la actualidad, secuelas que pudieron evitarse. </w:t>
      </w:r>
    </w:p>
    <w:p w:rsidR="00000000" w:rsidDel="00000000" w:rsidP="00000000" w:rsidRDefault="00000000" w:rsidRPr="00000000" w14:paraId="0000001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alta médica fue otorgada sin haberse agotado instancias razonables de diagnóstico y tratamiento, limitándose la ART a la realización de estudios básicos y a un número acotado de sesiones de kinesiología, sin que se evaluara adecuadamente la persistencia del dolor ni la evolución del cuadro, lo que derivó en la consolidación de secuelas.</w:t>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N°10.</w:t>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desgarro parcial del tendón supraespinoso de hombro derecho, tendinosis asociada y bursitis subacromio subdeltoidea, con limitación funcional dolorosa para la elevación, abducción y rotación del miembro superior— encuadran en las secuelas previstas para lesión traumática del manguito rotador con limitación funcional de hombro, conforme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r w:rsidDel="00000000" w:rsidR="00000000" w:rsidRPr="00000000">
        <w:rPr>
          <w:rtl w:val="0"/>
        </w:rPr>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B">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9C">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3">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4">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5">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6">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8">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Federico Adrián D´Arezzo,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CC">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2">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Constancia de Alta Médica</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25/02/2025</w:t>
      </w: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el accidente relatado en la demanda, es factible de causar las lesiones que presenta.</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09">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0A">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0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4">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