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引出算法；设计思想；性能好，开销大；算法的一种硬件实现；动画演示算法的运作过程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w:t>
            </w:r>
            <w:bookmarkStart w:id="0" w:name="_GoBack"/>
            <w:bookmarkEnd w:id="0"/>
            <w:r>
              <w:rPr>
                <w:rFonts w:hint="eastAsia" w:ascii="等线" w:hAnsi="等线" w:eastAsia="等线" w:cs="等线"/>
                <w:sz w:val="21"/>
                <w:szCs w:val="21"/>
                <w:lang w:val="en-US" w:eastAsia="zh-CN"/>
              </w:rPr>
              <w:t>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假设在第一个时钟滴答后，页面0~5的R位值分别是1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那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8位一般是够用的，如果一个页面已经有8个时钟滴答没有被访问过，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9430BB"/>
    <w:rsid w:val="08FA7CA8"/>
    <w:rsid w:val="0A4F4519"/>
    <w:rsid w:val="0B4B600B"/>
    <w:rsid w:val="0D145EEB"/>
    <w:rsid w:val="0DB71588"/>
    <w:rsid w:val="0EBD2115"/>
    <w:rsid w:val="113D4A25"/>
    <w:rsid w:val="117E3ACA"/>
    <w:rsid w:val="129C0034"/>
    <w:rsid w:val="148B4F97"/>
    <w:rsid w:val="148C21A3"/>
    <w:rsid w:val="18FB44B7"/>
    <w:rsid w:val="19656055"/>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4A5118"/>
    <w:rsid w:val="49F16BB0"/>
    <w:rsid w:val="4A482E91"/>
    <w:rsid w:val="4A902C29"/>
    <w:rsid w:val="4B945AA0"/>
    <w:rsid w:val="4D0F0810"/>
    <w:rsid w:val="4DAC4807"/>
    <w:rsid w:val="4DFA6AB8"/>
    <w:rsid w:val="4F3156D4"/>
    <w:rsid w:val="4F464DAC"/>
    <w:rsid w:val="51957113"/>
    <w:rsid w:val="539C42F1"/>
    <w:rsid w:val="55B84455"/>
    <w:rsid w:val="56F7178F"/>
    <w:rsid w:val="590F60B1"/>
    <w:rsid w:val="59136258"/>
    <w:rsid w:val="5ADB3B93"/>
    <w:rsid w:val="5ADC49D8"/>
    <w:rsid w:val="5AE03083"/>
    <w:rsid w:val="5BC53ED5"/>
    <w:rsid w:val="5C46329B"/>
    <w:rsid w:val="5E454FD8"/>
    <w:rsid w:val="5E915C63"/>
    <w:rsid w:val="5EA8660E"/>
    <w:rsid w:val="5EAC00B3"/>
    <w:rsid w:val="5F02564E"/>
    <w:rsid w:val="5FC1153E"/>
    <w:rsid w:val="602B629F"/>
    <w:rsid w:val="61DC223E"/>
    <w:rsid w:val="63BD6A70"/>
    <w:rsid w:val="64626FC6"/>
    <w:rsid w:val="64B03F8C"/>
    <w:rsid w:val="65DB0A21"/>
    <w:rsid w:val="67BD7CC5"/>
    <w:rsid w:val="681E1BE7"/>
    <w:rsid w:val="68AE7A65"/>
    <w:rsid w:val="695F681E"/>
    <w:rsid w:val="6B556AFE"/>
    <w:rsid w:val="6C597568"/>
    <w:rsid w:val="6C5E3B03"/>
    <w:rsid w:val="6D185900"/>
    <w:rsid w:val="6DAD5EDB"/>
    <w:rsid w:val="6F1E7A66"/>
    <w:rsid w:val="713D1397"/>
    <w:rsid w:val="71C70F06"/>
    <w:rsid w:val="7331780B"/>
    <w:rsid w:val="73F14A3F"/>
    <w:rsid w:val="7A6E0D5D"/>
    <w:rsid w:val="7BF124E9"/>
    <w:rsid w:val="7C093B6E"/>
    <w:rsid w:val="7D013B82"/>
    <w:rsid w:val="7D1E0609"/>
    <w:rsid w:val="7EBD2A47"/>
    <w:rsid w:val="7F05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2021-10-29T08:46:12Z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E28E9E31CE74468AA1DFC7CD7A00A7AE</vt:lpwstr>
  </property>
</Properties>
</file>