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Times New Roman" w:cs="Times New Roman" w:eastAsia="Times New Roman" w:hAnsi="Times New Roman"/>
          <w:b/>
          <w:bCs/>
          <w:sz w:val="36"/>
          <w:szCs w:val="36"/>
        </w:rPr>
        <w:t xml:space="preserve">INDIO YORI – TEROYOKORI – NEGRO</w:t>
      </w:r>
    </w:p>
    <w:p>
      <w:pPr>
        <w:spacing w:before="0" w:after="200"/>
        <w:jc w:val="center"/>
      </w:pPr>
      <w:r>
        <w:rPr>
          <w:rFonts w:ascii="Times New Roman" w:cs="Times New Roman" w:eastAsia="Times New Roman" w:hAnsi="Times New Roman"/>
          <w:i/>
          <w:iCs/>
          <w:sz w:val="28"/>
          <w:szCs w:val="28"/>
        </w:rPr>
        <w:t xml:space="preserve">El Mestizaje como Software Colonial y las Políticas del Olvido</w:t>
      </w:r>
    </w:p>
    <w:p>
      <w:pPr>
        <w:spacing w:before="200" w:after="80"/>
        <w:jc w:val="center"/>
      </w:pPr>
      <w:r>
        <w:rPr>
          <w:rFonts w:ascii="Times New Roman" w:cs="Times New Roman" w:eastAsia="Times New Roman" w:hAnsi="Times New Roman"/>
          <w:sz w:val="24"/>
          <w:szCs w:val="24"/>
        </w:rPr>
        <w:t xml:space="preserve">Working Paper / Documento de Trabajo</w:t>
      </w:r>
    </w:p>
    <w:p>
      <w:pPr>
        <w:spacing w:before="0" w:after="80"/>
        <w:jc w:val="center"/>
      </w:pPr>
      <w:r>
        <w:rPr>
          <w:rFonts w:ascii="Times New Roman" w:cs="Times New Roman" w:eastAsia="Times New Roman" w:hAnsi="Times New Roman"/>
          <w:i/>
          <w:iCs/>
          <w:sz w:val="24"/>
          <w:szCs w:val="24"/>
        </w:rPr>
        <w:t xml:space="preserve">Versión Preliminar — Avance de Investigación</w:t>
      </w:r>
    </w:p>
    <w:p>
      <w:pPr>
        <w:spacing w:before="0" w:after="80"/>
        <w:jc w:val="center"/>
      </w:pPr>
      <w:r>
        <w:rPr>
          <w:rFonts w:ascii="Times New Roman" w:cs="Times New Roman" w:eastAsia="Times New Roman" w:hAnsi="Times New Roman"/>
          <w:sz w:val="24"/>
          <w:szCs w:val="24"/>
        </w:rPr>
        <w:t xml:space="preserve">2025–2026</w:t>
      </w:r>
    </w:p>
    <w:p>
      <w:pPr>
        <w:pBdr>
          <w:bottom w:val="single" w:color="333333" w:sz="4" w:space="1"/>
        </w:pBdr>
        <w:spacing w:before="200" w:after="200"/>
      </w:pPr>
      <w:r>
        <w:t xml:space="preserve"/>
      </w:r>
    </w:p>
    <w:p>
      <w:pPr>
        <w:spacing w:before="200" w:after="200"/>
        <w:jc w:val="center"/>
      </w:pPr>
      <w:r>
        <w:rPr>
          <w:rFonts w:ascii="Times New Roman" w:cs="Times New Roman" w:eastAsia="Times New Roman" w:hAnsi="Times New Roman"/>
          <w:b/>
          <w:bCs/>
          <w:sz w:val="26"/>
          <w:szCs w:val="26"/>
        </w:rPr>
        <w:t xml:space="preserve">RESUMEN / ABSTRACT</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Este artículo presenta los fundamentos teóricos y la arquitectura conceptual del libro Indio Yori – Teroyokori – Negro: El Mestizaje como Software Colonial y las Políticas del Olvido. La tesis central sostiene que el mestizaje no es un proceso natural de fusión cultural, sino una tecnología política de despojo: un software colonial instalado por las élites criollas post-independencia para gestionar las contradicciones del nuevo Estado-nación latinoamericano.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dispositivo mestizo opera mediante una insuficiencia programada que produce sujetos que nunca son suficientemente blancos, suficientemente modernos, suficientemente legítimos. Esta insuficiencia crónica no es un error del sistema, sino su motor oculto: el combustible del consumo, la autodisciplina y la lealtad política. El análisis articula tres ejes de borrado fundacional —el indio con territorio, el negro con humanidad y el mestizo colonial— y traza cinco sujetos-nodo (Sierreño, Migrante, Chicano, Narco e Indio Yori/Teroyokori Urbano) que encarnan este código en sus bordes más críticos. El paper plantea, además, la distinción ética central del libro: Indio Yori como producto pasivo del sistema versus Teroyokori como traidor consciente que lo refuerza desde dentro.</w:t>
      </w:r>
    </w:p>
    <w:p>
      <w:pPr>
        <w:spacing w:before="120" w:after="80"/>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i/>
          <w:iCs/>
          <w:sz w:val="24"/>
          <w:szCs w:val="24"/>
        </w:rPr>
        <w:t xml:space="preserve">mestizaje, colonialidad del poder, software colonial, blanqueamiento, borrado afro, pigmentocracia, soberanía epistémica, descolonización</w:t>
      </w:r>
    </w:p>
    <w:p>
      <w:pPr>
        <w:spacing w:before="60" w:after="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mestizaje, coloniality of power, colonial software, whitening, Afro erasure, pigmentocracy, epistemic sovereignty, decolonization</w:t>
      </w:r>
    </w:p>
    <w:p>
      <w:pPr>
        <w:pBdr>
          <w:bottom w:val="single" w:color="333333" w:sz="4" w:space="1"/>
        </w:pBdr>
        <w:spacing w:before="200" w:after="200"/>
      </w:pPr>
      <w:r>
        <w:t xml:space="preserve"/>
      </w:r>
    </w:p>
    <w:p>
      <w:pPr>
        <w:pStyle w:val="Heading1"/>
        <w:spacing w:before="400" w:after="200"/>
      </w:pPr>
      <w:r>
        <w:rPr>
          <w:rFonts w:ascii="Times New Roman" w:cs="Times New Roman" w:eastAsia="Times New Roman" w:hAnsi="Times New Roman"/>
          <w:b/>
          <w:bCs/>
          <w:sz w:val="28"/>
          <w:szCs w:val="28"/>
        </w:rPr>
        <w:t xml:space="preserve">1. INTRODUCCIÓN: EL DISPOSITIVO DE LA INSUFICIENCIA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Este trabajo surge de una paradoja constitutiva de las sociedades latinoamericanas: en países que celebran el mestizaje como su esencia identitaria, el color de la piel sigue determinando el destino. ¿Por qué la "mezcla" que se declara como identidad nacional produce, sistemáticamente, jerarquías, vergüenzas y exclusiones?</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La respuesta que aquí se propone es radical: el mestizaje no es un proceso natural de fusión cultural, sino una tecnología política de despojo. Un software colonial instalado por las élites criollas post-independencia para gestionar las contradicciones del nuevo Estado-nación. Este dispositivo opera mediante una insuficiencia programada: produce sujetos que nunca son "suficientemente" blancos, "suficientemente" modernos, "suficientemente" legítimos. Esta insuficiencia crónica no es un error del sistema, sino su motor oculto —el combustible del consumo, la autodisciplina y la lealtad política en nuestras sociedades.</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análisis parte de los aportes de Aníbal Quijano sobre la colonialidad del poder, la crítica de Silvia Rivera Cusicanqui a los discursos descolonizadores, y los estudios históricos de Herman L. Bennett y María Elisa Velázquez sobre la presencia afrodescendiente en México y América Latina. Sobre estas bases, el libro desarrolla una cartografía propia del dispositivo mestizo: sus genealogías, sus mecanismos y sus sujetos-nodo.</w:t>
      </w:r>
    </w:p>
    <w:p>
      <w:pPr>
        <w:pStyle w:val="Heading2"/>
        <w:spacing w:before="300" w:after="160"/>
      </w:pPr>
      <w:r>
        <w:rPr>
          <w:rFonts w:ascii="Times New Roman" w:cs="Times New Roman" w:eastAsia="Times New Roman" w:hAnsi="Times New Roman"/>
          <w:b/>
          <w:bCs/>
          <w:i/>
          <w:iCs/>
          <w:sz w:val="26"/>
          <w:szCs w:val="26"/>
        </w:rPr>
        <w:t xml:space="preserve">1.1. Los pilares del despojo: una trinidad negada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dispositivo mestizo se construyó sobre el borrado estratégico de tres sujetos políticos peligrosos para el proyecto criollo: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Primero, el indio con territorio: el pueblo originario con derechos comunales reconocidos —aunque violentados— por la Corona, que reclamaba la tierra que el criollo quería privatizar. Segundo, el negro con humanidad: el africano y su descendencia, cuya reciente condición esclavizada y su humanidad radicalmente negada representaban una amenaza a la jerarquía racial y una deuda de libertad. Tercero, el mestizo colonial: no el héroe nacional futuro, sino el estigma social del régimen de castas, hijo de ilegitimidad y sin lugar definido.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La solución criolla fue ingeniosa en su perversidad: inventar al "mestizo nacional". Al declarar que "todos somos mestizos", las élites realizaron tres movimientos maestros: disolvieron los derechos especiales del indio en la abstracción de la ciudadanía individual; eliminaron al negro de la fórmula nacional, definiendo al mestizo únicamente como fusión indio-español; y transformaron el estigma del mestizo colonial en orgullo, pero vaciándolo de contenido político concreto.</w:t>
      </w:r>
    </w:p>
    <w:p>
      <w:pPr>
        <w:pStyle w:val="Heading2"/>
        <w:spacing w:before="300" w:after="160"/>
      </w:pPr>
      <w:r>
        <w:rPr>
          <w:rFonts w:ascii="Times New Roman" w:cs="Times New Roman" w:eastAsia="Times New Roman" w:hAnsi="Times New Roman"/>
          <w:b/>
          <w:bCs/>
          <w:i/>
          <w:iCs/>
          <w:sz w:val="26"/>
          <w:szCs w:val="26"/>
        </w:rPr>
        <w:t xml:space="preserve">1.2. Posición epistemológica y compromiso ético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Este análisis aborda tres grandes líneas de despojo: la indígena, la afrodescendiente y la del mestizo desindianizado. Se reconoce una posición corporal e históricamente situada, principalmente en esta última categoría, lo que exige una humildad epistémica explícita respecto al análisis del dolor, la memoria y la resistencia afrodescendiente. El trabajo aquí es conectar estructuralmente ese borrado al funcionamiento general del dispositivo mestizo, no sustituir las voces de quienes lo viven en su cuerpo.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borrado de lo afro no fue un descuido: fue condición necesaria para el blanqueamiento simbólico de la nación imaginada. Para que el nuevo Estado mestizo pudiera proyectarse como una comunidad de destino "civilizable", necesitaba desaparecer a la madre africana —con su historia de esclavitud, rebelión y una humanidad radicalmente cuestionadora— del relato fundacional. La negritud es el espectro estructurante del dispositivo: el fantasma que revela que el mestizaje no es inclusión, sino una máquina de clasificación que comenzó por expulsar a uno de sus propios padres.</w:t>
      </w:r>
    </w:p>
    <w:p>
      <w:pPr>
        <w:pBdr>
          <w:bottom w:val="single" w:color="333333" w:sz="4" w:space="1"/>
        </w:pBdr>
        <w:spacing w:before="200" w:after="200"/>
      </w:pPr>
      <w:r>
        <w:t xml:space="preserve"/>
      </w:r>
    </w:p>
    <w:p>
      <w:pPr>
        <w:pStyle w:val="Heading1"/>
        <w:spacing w:before="400" w:after="200"/>
      </w:pPr>
      <w:r>
        <w:rPr>
          <w:rFonts w:ascii="Times New Roman" w:cs="Times New Roman" w:eastAsia="Times New Roman" w:hAnsi="Times New Roman"/>
          <w:b/>
          <w:bCs/>
          <w:sz w:val="28"/>
          <w:szCs w:val="28"/>
        </w:rPr>
        <w:t xml:space="preserve">2. GENEALOGÍA DEL CÓDIGO: LA INVENCIÓN DEL MESTIZO Y EL BORRADO DE ÁFRICA</w:t>
      </w:r>
    </w:p>
    <w:p>
      <w:pPr>
        <w:pStyle w:val="Heading2"/>
        <w:spacing w:before="300" w:after="160"/>
      </w:pPr>
      <w:r>
        <w:rPr>
          <w:rFonts w:ascii="Times New Roman" w:cs="Times New Roman" w:eastAsia="Times New Roman" w:hAnsi="Times New Roman"/>
          <w:b/>
          <w:bCs/>
          <w:i/>
          <w:iCs/>
          <w:sz w:val="26"/>
          <w:szCs w:val="26"/>
        </w:rPr>
        <w:t xml:space="preserve">2.1. El sistema de castas: arquitectura de separación</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régimen colonial español no fue un crisol de razas, sino una máquina de jerarquización racial obsesiva y meticulosa. El "mestizo" colonial —hijo generalmente de padre español y madre indígena, fruto de violación o uniones informales— ocupaba un lugar liminal y despreciado. Las famosas pinturas de castas del siglo XVIII no celebraban la diversidad; eran manuales visuales de clasificación que documentaban con ansiedad cada posible combinación racial, revelando el pánico colonial a la contaminación y la pérdida de "pureza de sangre".</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Esta arquitectura estableció el principio fundamental que el dispositivo republicano heredaría: la mezcla no iguala, jerarquiza.</w:t>
      </w:r>
    </w:p>
    <w:p>
      <w:pPr>
        <w:pStyle w:val="Heading2"/>
        <w:spacing w:before="300" w:after="160"/>
      </w:pPr>
      <w:r>
        <w:rPr>
          <w:rFonts w:ascii="Times New Roman" w:cs="Times New Roman" w:eastAsia="Times New Roman" w:hAnsi="Times New Roman"/>
          <w:b/>
          <w:bCs/>
          <w:i/>
          <w:iCs/>
          <w:sz w:val="26"/>
          <w:szCs w:val="26"/>
        </w:rPr>
        <w:t xml:space="preserve">2.2. La negritud como amenaza ontológica: el pánico al "salta atrás"</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Dentro de la pirámide de castas, la sangre africana representaba el terror ontológico máximo. Si la "mancha" indígena podía, en teoría, ser "lavada" tras varias generaciones de mezcla con españoles, la "mancha" negra era percibida como más potente, más contaminante y más difícil de erradicar.</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término "salta atrás" describe a un hijo de padres "blanqueados" que inexplicablemente nacía con rasgos africanos marcados. Este fenómeno generaba verdadero pánico en las élites. Como documenta Laura A. Lewis, la brujería, la enfermedad y el desorden social eran frecuentemente atribuidos a la influencia africana. La negritud se asociaba no solo con la esclavitud, sino con una alteridad radical e inasimilable. Este pánico colonial dejaría una huella psíquica indeleble que operaría en el subconsciente político de las élites criollas del siglo XIX, haciendo del borrado de lo afro una condición de higiene simbólica para la nueva república.</w:t>
      </w:r>
    </w:p>
    <w:p>
      <w:pPr>
        <w:pStyle w:val="Heading2"/>
        <w:spacing w:before="300" w:after="160"/>
      </w:pPr>
      <w:r>
        <w:rPr>
          <w:rFonts w:ascii="Times New Roman" w:cs="Times New Roman" w:eastAsia="Times New Roman" w:hAnsi="Times New Roman"/>
          <w:b/>
          <w:bCs/>
          <w:i/>
          <w:iCs/>
          <w:sz w:val="26"/>
          <w:szCs w:val="26"/>
        </w:rPr>
        <w:t xml:space="preserve">2.3. 1821: La crisis criolla y el mestizo como solución política blanca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Al consumar la Independencia, las élites criollas heredaron el Estado pero enfrentaron una paradoja insoluble: necesitaban un relato unificador para la nueva nación, pero su poder material se basaba en la misma estructura colonial de exclusión racial y propiedad de la tierra.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La solución fue de una genialidad perversa: inventar al "mestizo nacional". Al declarar que "todos somos mestizos", realizaron un doble borrado estratégico con una sola jugada. Contra el indio: disolvieron sus derechos especiales y colectivos sobre la tierra en la abstracción de la ciudadanía individual. Si todos éramos iguales ante la ley, nadie podía reclamar tierras por derecho originario. El camino quedó abierto para las Leyes de Reforma y la desamortización de bienes comunales. Contra el negro: al definir al mestizo exclusivamente como la fusión del indio y el español, eliminaron a África del contrato social fundacional. La nación imaginada sería blanca e indígena, nunca negra.</w:t>
      </w:r>
    </w:p>
    <w:p>
      <w:pPr>
        <w:pStyle w:val="Heading2"/>
        <w:spacing w:before="300" w:after="160"/>
      </w:pPr>
      <w:r>
        <w:rPr>
          <w:rFonts w:ascii="Times New Roman" w:cs="Times New Roman" w:eastAsia="Times New Roman" w:hAnsi="Times New Roman"/>
          <w:b/>
          <w:bCs/>
          <w:i/>
          <w:iCs/>
          <w:sz w:val="26"/>
          <w:szCs w:val="26"/>
        </w:rPr>
        <w:t xml:space="preserve">2.4. El epistemicidio afro y la actualización vasconceliana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borrado de lo afro no fue solo un acto discursivo en el momento fundacional; se convirtió en una política sostenida de epistemicidio —el asesinato sistemático de un conocimiento y una memoria— que operó en múltiples niveles. Como demuestran María Elisa Velázquez y otros historiadores, este borrado tomó formas historiográficas, demográficas, culturales y corporales.</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La obra de José Vasconcelos, La Raza Cósmica (1925), lejos de ser una ruptura, fue la codificación poética del borrado fundacional. Su narrativa es engañosamente inclusiva: habla de una "quinta raza" síntesis de todas las anteriores. Sin embargo, el negro tiene una presencia casi fantasmagórica en el texto —como elemento que aporta "ritmo" y "emoción", nunca como sujeto histórico o componente fundamental. El proyecto vasconceliano era, en el fondo, la culminación del blanqueamiento espiritual: un futuro donde, mediante la mezcla dirigida, todos llegaríamos a ser, en esencia, blancos de espíritu y cultura.</w:t>
      </w:r>
    </w:p>
    <w:p>
      <w:pPr>
        <w:pBdr>
          <w:bottom w:val="single" w:color="333333" w:sz="4" w:space="1"/>
        </w:pBdr>
        <w:spacing w:before="200" w:after="200"/>
      </w:pPr>
      <w:r>
        <w:t xml:space="preserve"/>
      </w:r>
    </w:p>
    <w:p>
      <w:pPr>
        <w:pStyle w:val="Heading1"/>
        <w:spacing w:before="400" w:after="200"/>
      </w:pPr>
      <w:r>
        <w:rPr>
          <w:rFonts w:ascii="Times New Roman" w:cs="Times New Roman" w:eastAsia="Times New Roman" w:hAnsi="Times New Roman"/>
          <w:b/>
          <w:bCs/>
          <w:sz w:val="28"/>
          <w:szCs w:val="28"/>
        </w:rPr>
        <w:t xml:space="preserve">3. EL ALGORITMO DEL BLANQUEAMIENTO</w:t>
      </w:r>
    </w:p>
    <w:p>
      <w:pPr>
        <w:pStyle w:val="Heading2"/>
        <w:spacing w:before="300" w:after="160"/>
      </w:pPr>
      <w:r>
        <w:rPr>
          <w:rFonts w:ascii="Times New Roman" w:cs="Times New Roman" w:eastAsia="Times New Roman" w:hAnsi="Times New Roman"/>
          <w:b/>
          <w:bCs/>
          <w:i/>
          <w:iCs/>
          <w:sz w:val="26"/>
          <w:szCs w:val="26"/>
        </w:rPr>
        <w:t xml:space="preserve">3.1. La lógica del blanqueamiento: mestizaje como beta perpetua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blanqueamiento no es una política de Estado obsoleta; es un algoritmo vivo que organiza deseos, aspiraciones y autopercepciones en el presente. Opera como una "beta perpetua" —un programa siempre en actualización, que nunca se da por terminado. El mandato no es explícito ("sé blanco"), sino negativo y progresivo: "deja de ser indio/negro".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La genialidad perversa del algoritmo reside en que el ideal siempre se desplaza. La blanquitud no es solo un fenotipo; es un acento "neutral", unos modales "educados", un capital cultural específico, un tipo de cuerpo. Uno nunca llega; siempre puede —y debe— ser "más blanco" en algún aspecto. Esta movilidad del objetivo convierte la identidad en un proyecto de vida inacabable.</w:t>
      </w:r>
    </w:p>
    <w:p>
      <w:pPr>
        <w:pStyle w:val="Heading2"/>
        <w:spacing w:before="300" w:after="160"/>
      </w:pPr>
      <w:r>
        <w:rPr>
          <w:rFonts w:ascii="Times New Roman" w:cs="Times New Roman" w:eastAsia="Times New Roman" w:hAnsi="Times New Roman"/>
          <w:b/>
          <w:bCs/>
          <w:i/>
          <w:iCs/>
          <w:sz w:val="26"/>
          <w:szCs w:val="26"/>
        </w:rPr>
        <w:t xml:space="preserve">3.2. La insuficiencia crónica como motor del capitalismo racial</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algoritmo no está diseñado para que se alcance su objetivo final. Está diseñado para generar y gestionar insuficiencia crónica. Esta insuficiencia es productiva en múltiples niveles. Políticamente, fragmenta la lucha de clases y la solidaridad comunal en luchas individuales por el ascenso racial. Económicamente, canaliza ingresos hacia un consumo correctivo: cremas, ropa, cirugías, educación privada, estilos de vida que prometen "pulir" el origen. Psicológicamente, interioriza la culpa y desvía la indignación hacia la autodisciplina.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Los estudios de pigmentocracia coordinados por Edward Telles demuestran con datos duros que en México y América Latina el tono de piel sigue siendo el predictor más fuerte de riqueza, educación, acceso a vivienda y estatus social, incluso controlando por otras variables. El "mito de la democracia racial" es la interfaz amigable del dispositivo; los datos son la terminal de comandos que muestra la realidad cruda.</w:t>
      </w:r>
    </w:p>
    <w:p>
      <w:pPr>
        <w:pStyle w:val="Heading2"/>
        <w:spacing w:before="300" w:after="160"/>
      </w:pPr>
      <w:r>
        <w:rPr>
          <w:rFonts w:ascii="Times New Roman" w:cs="Times New Roman" w:eastAsia="Times New Roman" w:hAnsi="Times New Roman"/>
          <w:b/>
          <w:bCs/>
          <w:i/>
          <w:iCs/>
          <w:sz w:val="26"/>
          <w:szCs w:val="26"/>
        </w:rPr>
        <w:t xml:space="preserve">3.3. El racismo cromático y la penalización de lo afro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algoritmo no solo premia la aproximación a lo blanco; penaliza activamente la proximidad a lo negro. Esta penalización se codifica en el lenguaje íntimo del cuerpo y la estética, lo que Christina Sue identifica como un racismo "cromático" o de fenotipo. El "pelo bueno" versus el "pelo malo", el "rasgo fino" versus el "rasgo tosco", el "tono claro" versus el "prieto".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Como documenta Sue en Land of the Cosmic Race, dentro de una misma familia mestiza, los hijos de tono más claro suelen ser considerados más atractivos, inteligentes y con mayor potencial. Este es el legado vivo del pánico colonial al "salta atrás": el miedo a que lo africano emerja en el propio linaje. El algoritmo enseña que lo africano sigue siendo percibido como una mancha biológica más profunda y difícil de lavar.</w:t>
      </w:r>
    </w:p>
    <w:p>
      <w:pPr>
        <w:pBdr>
          <w:bottom w:val="single" w:color="333333" w:sz="4" w:space="1"/>
        </w:pBdr>
        <w:spacing w:before="200" w:after="200"/>
      </w:pPr>
      <w:r>
        <w:t xml:space="preserve"/>
      </w:r>
    </w:p>
    <w:p>
      <w:pPr>
        <w:pStyle w:val="Heading1"/>
        <w:spacing w:before="400" w:after="200"/>
      </w:pPr>
      <w:r>
        <w:rPr>
          <w:rFonts w:ascii="Times New Roman" w:cs="Times New Roman" w:eastAsia="Times New Roman" w:hAnsi="Times New Roman"/>
          <w:b/>
          <w:bCs/>
          <w:sz w:val="28"/>
          <w:szCs w:val="28"/>
        </w:rPr>
        <w:t xml:space="preserve">4. FUNCIÓN DEL DISPOSITIVO: DE PUEBLOS A POBLACIÓN</w:t>
      </w:r>
    </w:p>
    <w:p>
      <w:pPr>
        <w:pStyle w:val="Heading2"/>
        <w:spacing w:before="300" w:after="160"/>
      </w:pPr>
      <w:r>
        <w:rPr>
          <w:rFonts w:ascii="Times New Roman" w:cs="Times New Roman" w:eastAsia="Times New Roman" w:hAnsi="Times New Roman"/>
          <w:b/>
          <w:bCs/>
          <w:i/>
          <w:iCs/>
          <w:sz w:val="26"/>
          <w:szCs w:val="26"/>
        </w:rPr>
        <w:t xml:space="preserve">4.1. Pueblo vs. Población: una distinción ontopolítica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La función maestra del dispositivo mestizo es ejecutar una conversión ontológica violenta: desmontar a los Pueblos —entidades políticas con derechos colectivos— para reconstruirlos como Población —objetos estadísticos dóciles, compuestos por individuos-ciudadanos.</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Pueblo es un sujeto histórico-político colectivo. Su existencia precede y excede al Estado. Se define por un vínculo jurídico-territorial originario, una memoria larga y responsabilidad intergeneracional, autodeterminación interna y personalidad jurídica colectiva. Población, en cambio, es un objeto estadístico-administrativo creado y definido por el Estado: una agregación de individuos atomizados, vinculados al Estado por un contrato, no por una historia compartida. La transición de Pueblo a Población es, por tanto, un desarme político: se canjea la soberanía por la ciudadanía, la territorialidad ancestral por el domicilio registral, el derecho colectivo por el derecho individual.</w:t>
      </w:r>
    </w:p>
    <w:p>
      <w:pPr>
        <w:pStyle w:val="Heading2"/>
        <w:spacing w:before="300" w:after="160"/>
      </w:pPr>
      <w:r>
        <w:rPr>
          <w:rFonts w:ascii="Times New Roman" w:cs="Times New Roman" w:eastAsia="Times New Roman" w:hAnsi="Times New Roman"/>
          <w:b/>
          <w:bCs/>
          <w:i/>
          <w:iCs/>
          <w:sz w:val="26"/>
          <w:szCs w:val="26"/>
        </w:rPr>
        <w:t xml:space="preserve">4.2. Tecnologías de conversión: el censo, el registro y el mapa como armas</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Esta operación se ejecuta con precisión técnica a través de tres instrumentos clave. El censo no es un mero conteo; es el acto fundacional de la "población". Al clasificar a las personas bajo categorías fijas y definidas por el Estado, fragmenta las identidades relacionales, fluidas y complejas, creando la "población indígena" como dato demográfico y borrando su estatus de Pueblo con derechos. El Registro Civil produce individuos: al inscribir nacimientos bajo el sistema estatal único, desarticula los sistemas de filiación y pertenencia comunal. La Cartografía Oficial convierte el territorio vivido —cargado de significado— en espacio abstracto y mensurable, borrando topónimos originales, sitios sagrados y rutas de memoria.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Como explica James C. Scott en Seeing Like a State, estas son tecnologías de simplificación y legibilidad para el poder estatal. En el contexto mestizo, son las herramientas que completan, en el plano administrativo, el borrado histórico iniciado en el plano discursivo.</w:t>
      </w:r>
    </w:p>
    <w:p>
      <w:pPr>
        <w:pStyle w:val="Heading2"/>
        <w:spacing w:before="300" w:after="160"/>
      </w:pPr>
      <w:r>
        <w:rPr>
          <w:rFonts w:ascii="Times New Roman" w:cs="Times New Roman" w:eastAsia="Times New Roman" w:hAnsi="Times New Roman"/>
          <w:b/>
          <w:bCs/>
          <w:i/>
          <w:iCs/>
          <w:sz w:val="26"/>
          <w:szCs w:val="26"/>
        </w:rPr>
        <w:t xml:space="preserve">4.3. El desarraigo programado y el sujeto neoliberal perfecto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"mestizo" no es un punto de partida, sino un producto final manufacturado. El proceso del desarraigo programado tiene como objetivo explícito la producción deliberada de un individuo sin pueblo, sin territorio ancestral y sin lengua propia. El sujeto mestizo sufre una triple amputación constitutiva: pérdida lingüística, pérdida territorial y pérdida epistémica.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Este producto es el prototipo ideal del sujeto neoliberal: con movilidad absoluta —sin raíces que lo retengan—, con identidad como proyecto de consumo, con responsabilización individual total y con memoria corta y presentismo. En lo afrodescendiente, esta triple pérdida es especialmente severa: la pérdida de las lenguas africanas fue casi total y más temprana; la desterritorialización fue por diseño; y los sistemas de conocimiento espiritual y médico africanos fueron demonizados activamente. Lo afro, entonces, persiste como un espectro en la cultura mestiza —en el ritmo de un son, en un platillo, en la devoción a un santo moreno— pero sin ser reconocido como un pilar perdido de la identidad.</w:t>
      </w:r>
    </w:p>
    <w:p>
      <w:pPr>
        <w:pBdr>
          <w:bottom w:val="single" w:color="333333" w:sz="4" w:space="1"/>
        </w:pBdr>
        <w:spacing w:before="200" w:after="200"/>
      </w:pPr>
      <w:r>
        <w:t xml:space="preserve"/>
      </w:r>
    </w:p>
    <w:p>
      <w:pPr>
        <w:pStyle w:val="Heading1"/>
        <w:spacing w:before="400" w:after="200"/>
      </w:pPr>
      <w:r>
        <w:rPr>
          <w:rFonts w:ascii="Times New Roman" w:cs="Times New Roman" w:eastAsia="Times New Roman" w:hAnsi="Times New Roman"/>
          <w:b/>
          <w:bCs/>
          <w:sz w:val="28"/>
          <w:szCs w:val="28"/>
        </w:rPr>
        <w:t xml:space="preserve">5. LOS CINCO SUJETOS-NODO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dispositivo no produce un sujeto uniforme, sino una red de posiciones. El análisis articula cinco sujetos-nodo que encarnan este código en sus bordes más críticos. No son identidades étnicas, sino posiciones políticas y económicas en el circuito del despojo.</w:t>
      </w:r>
    </w:p>
    <w:p>
      <w:pPr>
        <w:pStyle w:val="Heading2"/>
        <w:spacing w:before="300" w:after="160"/>
      </w:pPr>
      <w:r>
        <w:rPr>
          <w:rFonts w:ascii="Times New Roman" w:cs="Times New Roman" w:eastAsia="Times New Roman" w:hAnsi="Times New Roman"/>
          <w:b/>
          <w:bCs/>
          <w:i/>
          <w:iCs/>
          <w:sz w:val="26"/>
          <w:szCs w:val="26"/>
        </w:rPr>
        <w:t xml:space="preserve">5.1. El Sujeto Sierreño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 la resistencia territorial que el código intenta quebrar. Su cuerpo aún recuerda la montaña como un ser vivo, no como un "recurso". Habita la última frontera interior de los bienes comunes no mercantilizados. El sistema lo combate mediante el extractivismo legal y la violencia paramilitar, buscando convertirlo en migrante o eliminarlo directamente. El despojo en la Sierra opera en tres frentes sincronizados: el despojo extractivo (concesiones mineras, presas, tala), el despojo paramilitar (crimen organizado como brazo armado del extractivismo) y el despojo climático (que debilita la resiliencia comunitaria). La Sierra no es marginal al sistema; es su fuente de vida y su cloaca al mismo tiempo.</w:t>
      </w:r>
    </w:p>
    <w:p>
      <w:pPr>
        <w:pStyle w:val="Heading2"/>
        <w:spacing w:before="300" w:after="160"/>
      </w:pPr>
      <w:r>
        <w:rPr>
          <w:rFonts w:ascii="Times New Roman" w:cs="Times New Roman" w:eastAsia="Times New Roman" w:hAnsi="Times New Roman"/>
          <w:b/>
          <w:bCs/>
          <w:i/>
          <w:iCs/>
          <w:sz w:val="26"/>
          <w:szCs w:val="26"/>
        </w:rPr>
        <w:t xml:space="preserve">5.2. El Sujeto Migrante</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 el producto lógico del ejido quebrado. El ejido post-revolucionario no fue una restitución histórica, sino la biopolítica definitiva del campo mexicano: un dispositivo que administró el despojo mediante la concesión calculada de tierra sin soberanía. Su fracaso funcional —particularmente acelerado por el TLCAN en 1994— genera el Sujeto Migrante. Las remesas, celebradas como salvación nacional, constituyen en realidad el mecanismo de financiarización final del despojo: un subsidio privado que transfiere a las familias el costo de la reproducción social que el Estado-Nación mestizo externaliza.</w:t>
      </w:r>
    </w:p>
    <w:p>
      <w:pPr>
        <w:pStyle w:val="Heading2"/>
        <w:spacing w:before="300" w:after="160"/>
      </w:pPr>
      <w:r>
        <w:rPr>
          <w:rFonts w:ascii="Times New Roman" w:cs="Times New Roman" w:eastAsia="Times New Roman" w:hAnsi="Times New Roman"/>
          <w:b/>
          <w:bCs/>
          <w:i/>
          <w:iCs/>
          <w:sz w:val="26"/>
          <w:szCs w:val="26"/>
        </w:rPr>
        <w:t xml:space="preserve">5.3. El Sujeto Chicano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Habita la herida abierta de 1848. No cruzó la frontera; la frontera cruzó sobre su casa. Encarna la insuficiencia duplicada: no es "suficientemente gringo" para el norte ni "suficientemente mexicano" para el sur. El Tratado de Guadalupe Hidalgo no fue un ajuste fronterizo, sino un acto de violencia ontológica mediante derecho internacional. En el cuerpo chicano, especialmente en el cuerpo afrochicano, se produce una triple negación: invisibilizado por el nacionalismo mexicano mestizo, oscurecido por el nacionalismo chicano culturalista, y absorbido o diluido por el sistema racial angloestadounidense. Su experiencia, magistralmente teorizada por Gloria Anzaldúa como una "conciencia de la frontera", es la de habitar la herida de dos sistemas raciales que lo rechazan.</w:t>
      </w:r>
    </w:p>
    <w:p>
      <w:pPr>
        <w:pStyle w:val="Heading2"/>
        <w:spacing w:before="300" w:after="160"/>
      </w:pPr>
      <w:r>
        <w:rPr>
          <w:rFonts w:ascii="Times New Roman" w:cs="Times New Roman" w:eastAsia="Times New Roman" w:hAnsi="Times New Roman"/>
          <w:b/>
          <w:bCs/>
          <w:i/>
          <w:iCs/>
          <w:sz w:val="26"/>
          <w:szCs w:val="26"/>
        </w:rPr>
        <w:t xml:space="preserve">5.4. El Sujeto Narco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 la respuesta psicótica al blanqueamiento imposible, la colonialidad ejecutada con lógica de cañón. Ante la imposibilidad de acceder al poder y al reconocimiento por las vías legítimas —bloqueadas por el racismo estructural de clase y fenotipo—, el narco toma un atajo violento hacia una soberanía paródica. No subvierte el sistema; lo obedece de manera grotesca y acelerada, acumulando los símbolos de poder blanco mediante una soberanía armada. Es significativo observar lo que la estética narco no incluye: símbolos de prestigio indígena o afro. Su blanqueamiento es puramente eurocéntrico y criollo, confirmando que el poder —incluso el poder ilegal— sigue codificado exclusivamente como blancura.</w:t>
      </w:r>
    </w:p>
    <w:p>
      <w:pPr>
        <w:pStyle w:val="Heading2"/>
        <w:spacing w:before="300" w:after="160"/>
      </w:pPr>
      <w:r>
        <w:rPr>
          <w:rFonts w:ascii="Times New Roman" w:cs="Times New Roman" w:eastAsia="Times New Roman" w:hAnsi="Times New Roman"/>
          <w:b/>
          <w:bCs/>
          <w:i/>
          <w:iCs/>
          <w:sz w:val="26"/>
          <w:szCs w:val="26"/>
        </w:rPr>
        <w:t xml:space="preserve">5.5. El Indio Yori / Teroyokori Urbano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Son nosotros: los más de 80 millones de mestizos urbanos, desindianizados pero no blanqueados, que habitamos ciudades sin memoria territorial. Aquí la distinción ética es crucial. El Indio Yori es simplemente el producto del sistema: vive el desarraigo como condición natural. Es, potencialmente, recuperable para la conciencia. El Teroyokori es el traidor consciente: sabe que hay una raíz negada —indígena, afro, campesina— y elige activamente negarla y despreciarla para ascender dentro del sistema.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Esta distinción, inspirada en el concepto wixárika (tero = pueblo, yokori = que olvida/vende), es un criterio ético, no racial: define no lo que somos por sangre, sino la posición que elegimos ante el dispositivo. ¿Ejecutamos su código o intentamos desinstalarlo?</w:t>
      </w:r>
    </w:p>
    <w:p>
      <w:pPr>
        <w:pBdr>
          <w:bottom w:val="single" w:color="333333" w:sz="4" w:space="1"/>
        </w:pBdr>
        <w:spacing w:before="200" w:after="200"/>
      </w:pPr>
      <w:r>
        <w:t xml:space="preserve"/>
      </w:r>
    </w:p>
    <w:p>
      <w:pPr>
        <w:pStyle w:val="Heading1"/>
        <w:spacing w:before="400" w:after="200"/>
      </w:pPr>
      <w:r>
        <w:rPr>
          <w:rFonts w:ascii="Times New Roman" w:cs="Times New Roman" w:eastAsia="Times New Roman" w:hAnsi="Times New Roman"/>
          <w:b/>
          <w:bCs/>
          <w:sz w:val="28"/>
          <w:szCs w:val="28"/>
        </w:rPr>
        <w:t xml:space="preserve">6. ACTUALIZACIONES DEL SOFTWARE: NEOLIBERALISMO Y COLONIALIDAD DIGITAL</w:t>
      </w:r>
    </w:p>
    <w:p>
      <w:pPr>
        <w:pStyle w:val="Heading2"/>
        <w:spacing w:before="300" w:after="160"/>
      </w:pPr>
      <w:r>
        <w:rPr>
          <w:rFonts w:ascii="Times New Roman" w:cs="Times New Roman" w:eastAsia="Times New Roman" w:hAnsi="Times New Roman"/>
          <w:b/>
          <w:bCs/>
          <w:i/>
          <w:iCs/>
          <w:sz w:val="26"/>
          <w:szCs w:val="26"/>
        </w:rPr>
        <w:t xml:space="preserve">6.1. El neoliberalismo como software mestizo actualizado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neoliberalismo es la actualización lógica del software mestizo: convierte al sujeto desarraigado en el precariado ideal —flexible, endeudado, autorresponsabilizado—, completando la transformación de la insuficiencia identitaria en insuficiencia económica existencial. La precariedad neoliberal es un ecosistema total: precarización laboral, precarización habitacional y precarización existencial se retroalimentan.</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multiculturalismo neoliberal actualiza la lógica mestiza: ya no busca homogenizar borrando, sino gestionar la diferencia para hacerla funcional al capital. La "diversidad" se convierte en un activo de mercado que domestica la rebeldía cultural convirtiéndola en producto, dejando intactas las jerarquías materiales.</w:t>
      </w:r>
    </w:p>
    <w:p>
      <w:pPr>
        <w:pStyle w:val="Heading2"/>
        <w:spacing w:before="300" w:after="160"/>
      </w:pPr>
      <w:r>
        <w:rPr>
          <w:rFonts w:ascii="Times New Roman" w:cs="Times New Roman" w:eastAsia="Times New Roman" w:hAnsi="Times New Roman"/>
          <w:b/>
          <w:bCs/>
          <w:i/>
          <w:iCs/>
          <w:sz w:val="26"/>
          <w:szCs w:val="26"/>
        </w:rPr>
        <w:t xml:space="preserve">6.2. La colonialidad digital: algoritmos como nuevo sistema de castas</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La tecnología digital es la última y más sofisticada actualización del software colonial. Sus algoritmos replican y automatizan las jerarquías raciales, realizando un nuevo extractivismo de datos. Como demuestra Safiya Umoja Noble, los motores de búsqueda no son neutrales: al entrenarse con datos históricos, aprenden y amplifican los prejuicios estructurales. Los sistemas de reconocimiento facial fracasan sistemáticamente con rostros no blancos, no porque la tecnología sea deficiente, sino porque fue entrenada con datasets predominantemente blancos.</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Sur Global no es solo proveedor de materias primas, sino de datos crudos que alimentan las inteligencias artificiales del Norte —una "Conquista 2.0" donde plataformas globales ofrecen "servicios gratuitos" a cambio de la expropiación total de la experiencia humana.</w:t>
      </w:r>
    </w:p>
    <w:p>
      <w:pPr>
        <w:pStyle w:val="Heading2"/>
        <w:spacing w:before="300" w:after="160"/>
      </w:pPr>
      <w:r>
        <w:rPr>
          <w:rFonts w:ascii="Times New Roman" w:cs="Times New Roman" w:eastAsia="Times New Roman" w:hAnsi="Times New Roman"/>
          <w:b/>
          <w:bCs/>
          <w:i/>
          <w:iCs/>
          <w:sz w:val="26"/>
          <w:szCs w:val="26"/>
        </w:rPr>
        <w:t xml:space="preserve">6.3. La guerra cognitiva: saturación y amnesia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mantenimiento del dispositivo opera mediante una guerra cognitiva que usa saturación informativa, fragmentación algorítmica y gamificación para producir una ciudadanía exhausta, desmemoriada e incapaz de tejer narrativas históricas. El diluvio de contenidos genera un "infarto psíquico" (Han) que mantiene al sujeto en un estado de hiperatención dispersa, incapaz de concentrarse en análisis profundos o en la construcción de proyectos colectivos a largo plazo. La fragmentación algorítmica actualiza la estrategia colonial del "divide y vencerás".</w:t>
      </w:r>
    </w:p>
    <w:p>
      <w:pPr>
        <w:pBdr>
          <w:bottom w:val="single" w:color="333333" w:sz="4" w:space="1"/>
        </w:pBdr>
        <w:spacing w:before="200" w:after="200"/>
      </w:pPr>
      <w:r>
        <w:t xml:space="preserve"/>
      </w:r>
    </w:p>
    <w:p>
      <w:pPr>
        <w:pStyle w:val="Heading1"/>
        <w:spacing w:before="400" w:after="200"/>
      </w:pPr>
      <w:r>
        <w:rPr>
          <w:rFonts w:ascii="Times New Roman" w:cs="Times New Roman" w:eastAsia="Times New Roman" w:hAnsi="Times New Roman"/>
          <w:b/>
          <w:bCs/>
          <w:sz w:val="28"/>
          <w:szCs w:val="28"/>
        </w:rPr>
        <w:t xml:space="preserve">7. HACIA LA DESINSTALACIÓN: SOBERANÍA EPISTÉMICA Y LA TRIADA</w:t>
      </w:r>
    </w:p>
    <w:p>
      <w:pPr>
        <w:pStyle w:val="Heading2"/>
        <w:spacing w:before="300" w:after="160"/>
      </w:pPr>
      <w:r>
        <w:rPr>
          <w:rFonts w:ascii="Times New Roman" w:cs="Times New Roman" w:eastAsia="Times New Roman" w:hAnsi="Times New Roman"/>
          <w:b/>
          <w:bCs/>
          <w:i/>
          <w:iCs/>
          <w:sz w:val="26"/>
          <w:szCs w:val="26"/>
        </w:rPr>
        <w:t xml:space="preserve">7.1. Conciencia del código y soberanía epistémica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primer acto de soberanía es la conciencia epistémica: nombrar al mestizaje como dispositivo, rechazar la vergüenza étnica y recuperar el derecho a producir conocimiento desde la herida colonial, recordando lo borrado —lo indígena y lo afro. Es el momento en que el sujeto deja de ser programa ejecutado y se vuelve programador de su propia existencia.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La soberanía epistémica implica reconocer que todo conocimiento es situado y político, rehabilitar los saberes subalternizados como sistemas cognitivos completos, y crear contra-imaginarios que escapen al horizonte único del desarrollo/capitalismo.</w:t>
      </w:r>
    </w:p>
    <w:p>
      <w:pPr>
        <w:pStyle w:val="Heading2"/>
        <w:spacing w:before="300" w:after="160"/>
      </w:pPr>
      <w:r>
        <w:rPr>
          <w:rFonts w:ascii="Times New Roman" w:cs="Times New Roman" w:eastAsia="Times New Roman" w:hAnsi="Times New Roman"/>
          <w:b/>
          <w:bCs/>
          <w:i/>
          <w:iCs/>
          <w:sz w:val="26"/>
          <w:szCs w:val="26"/>
        </w:rPr>
        <w:t xml:space="preserve">7.2. La Triada de Soberanía: Tierra-Cuerpo-Pensamiento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La descolonización es indivisible. Exige la práctica simultánea de tres soberanías. La Soberanía Territorial redefine radicalmente la relación con el territorio: no es un objeto a poseer, sino un sujeto vivo con el cual se establece una relación de reciprocidad. La Soberanía Corporal aborda la liberación del cuerpo como el territorio primero y más íntimo, atacando el sistema de género colonial y el estigma del cuerpo negro. La Soberanía Epistémica ejerce el derecho radical a nombrar(se), a definir la realidad desde coordenadas propias.</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Ejército Zapatista de Liberación Nacional encarna de manera poderosa esta triada en práctica: soberanía territorial en los Caracoles autónomos, soberanía corporal en la Ley Revolucionaria de Mujeres (1994), y soberanía epistémica en el principio de "mandar obedeciendo" y en el lema "Preguntando caminamos".</w:t>
      </w:r>
    </w:p>
    <w:p>
      <w:pPr>
        <w:pStyle w:val="Heading2"/>
        <w:spacing w:before="300" w:after="160"/>
      </w:pPr>
      <w:r>
        <w:rPr>
          <w:rFonts w:ascii="Times New Roman" w:cs="Times New Roman" w:eastAsia="Times New Roman" w:hAnsi="Times New Roman"/>
          <w:b/>
          <w:bCs/>
          <w:i/>
          <w:iCs/>
          <w:sz w:val="26"/>
          <w:szCs w:val="26"/>
        </w:rPr>
        <w:t xml:space="preserve">7.3. El Nosotros Soberano: honestidad política y ética de la liberación</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destino de la desinstalación es la construcción de un "Nosotros Soberano" guiado por una Ética de la Liberación que priorice la defensa de la vida. Este nosotros es pluri-raíz: está hecho del indígena que defiende su montaña, del afrodescendiente que canta los alabaos de sus ancestros esclavizados, del mestizo que deja de aspirar a ser blanco y empieza a preguntar de qué barro específico está hecho, del urbano que descubre que su precariedad tiene raíces en la Hacienda.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Este tránsito exige honestidad política sobre las contradicciones internas del propio campo descolonial: el privilegio mestizo-criollo que persiste, el lenguaje colonizado con que se debate la descolonización, el racismo anti-negro internalizado incluso dentro de los movimientos que reivindican lo indígena. La descolonización en Abya Yala está incompleta si no incluye una lucha frontal contra la anti-negritud. La liberación será plural o no será.</w:t>
      </w:r>
    </w:p>
    <w:p>
      <w:pPr>
        <w:pBdr>
          <w:bottom w:val="single" w:color="333333" w:sz="4" w:space="1"/>
        </w:pBdr>
        <w:spacing w:before="200" w:after="200"/>
      </w:pPr>
      <w:r>
        <w:t xml:space="preserve"/>
      </w:r>
    </w:p>
    <w:p>
      <w:pPr>
        <w:pStyle w:val="Heading1"/>
        <w:spacing w:before="400" w:after="200"/>
      </w:pPr>
      <w:r>
        <w:rPr>
          <w:rFonts w:ascii="Times New Roman" w:cs="Times New Roman" w:eastAsia="Times New Roman" w:hAnsi="Times New Roman"/>
          <w:b/>
          <w:bCs/>
          <w:sz w:val="28"/>
          <w:szCs w:val="28"/>
        </w:rPr>
        <w:t xml:space="preserve">8. CONCLUSIÓN: DEL TEROYOKORI AL PUEBLO QUE RECUERDA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viaje de este libro comenzó con una fractura: el Teroyokori. El que olvida. El hijo desmemoriado del mestizaje, que canjea su historia por un espejismo de movilidad en la pirámide colonial. Reconocer al Teroyokori en nosotros no es el final. Es el umbral.</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tránsito fundamental es del individuo Teroyokori al Pueblo Que Recuerda. Este Pueblo no es una etnia, ni una raza, ni una esencia pura. Es una alianza política tejida con los hilos rotos de la historia. Su memoria no es nostalgia; es un órgano de percepción política. Recuerda que el banco que hoy niega un crédito es el mismo poder que ayer financió la Hacienda con hipotecas sobre cuerpos. Recuerda que la plataforma que explota opera con la lógica abstracta del cálculo que midió al indio en "piezas" y al negro en "toneladas". Recuerda que la ansiedad que medica es la actualización neuroquímica de la vergüenza étnica.</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El software colonial se actualiza cada día. La tarea es actualizar la memoria y la resistencia con más velocidad, más profundidad y más amor. No hay un mapa descolonial definitivo. Solo hay una brújula ética —la defensa de la vida de los más vulnerables— y un modo de caminar: preguntando, escuchando, tejiendo.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Del Teroyokori al Pueblo Que Recuerda. Del desarraigo a la raíz política. Del código colonial al código fuente de la liberación.</w:t>
      </w:r>
    </w:p>
    <w:p>
      <w:pPr>
        <w:pBdr>
          <w:bottom w:val="single" w:color="333333" w:sz="4" w:space="1"/>
        </w:pBdr>
        <w:spacing w:before="200" w:after="200"/>
      </w:pPr>
      <w:r>
        <w:t xml:space="preserve"/>
      </w:r>
    </w:p>
    <w:p>
      <w:pPr>
        <w:pStyle w:val="Heading1"/>
        <w:spacing w:before="400" w:after="200"/>
      </w:pPr>
      <w:r>
        <w:rPr>
          <w:rFonts w:ascii="Times New Roman" w:cs="Times New Roman" w:eastAsia="Times New Roman" w:hAnsi="Times New Roman"/>
          <w:b/>
          <w:bCs/>
          <w:sz w:val="28"/>
          <w:szCs w:val="28"/>
        </w:rPr>
        <w:t xml:space="preserve">REFERENCIAS BIBLIOGRÁFICAS</w:t>
      </w:r>
    </w:p>
    <w:p>
      <w:pPr>
        <w:spacing w:before="0" w:after="160" w:line="360"/>
        <w:jc w:val="both"/>
      </w:pPr>
      <w:r>
        <w:rPr>
          <w:rFonts w:ascii="Times New Roman" w:cs="Times New Roman" w:eastAsia="Times New Roman" w:hAnsi="Times New Roman"/>
          <w:b w:val="false"/>
          <w:bCs w:val="false"/>
          <w:i/>
          <w:iCs/>
          <w:sz w:val="24"/>
          <w:szCs w:val="24"/>
        </w:rPr>
        <w:t xml:space="preserve">A continuación se listan las fuentes que sostienen el argumento central del libro y este paper. La bibliografía completa por capítulo se detalla en el texto integral.</w:t>
      </w:r>
    </w:p>
    <w:p>
      <w:r>
        <w:t xml:space="preserve"/>
      </w:r>
    </w:p>
    <w:p>
      <w:pPr>
        <w:spacing w:before="60" w:after="60" w:line="320"/>
        <w:ind w:left="720" w:hanging="720"/>
        <w:jc w:val="both"/>
      </w:pPr>
      <w:r>
        <w:rPr>
          <w:rFonts w:ascii="Times New Roman" w:cs="Times New Roman" w:eastAsia="Times New Roman" w:hAnsi="Times New Roman"/>
          <w:sz w:val="20"/>
          <w:szCs w:val="20"/>
        </w:rPr>
        <w:t xml:space="preserve">Acuña, Rodolfo. Occupied America: A History of Chicanos. Harper &amp; Row.</w:t>
      </w:r>
    </w:p>
    <w:p>
      <w:pPr>
        <w:spacing w:before="60" w:after="60" w:line="320"/>
        <w:ind w:left="720" w:hanging="720"/>
        <w:jc w:val="both"/>
      </w:pPr>
      <w:r>
        <w:rPr>
          <w:rFonts w:ascii="Times New Roman" w:cs="Times New Roman" w:eastAsia="Times New Roman" w:hAnsi="Times New Roman"/>
          <w:sz w:val="20"/>
          <w:szCs w:val="20"/>
        </w:rPr>
        <w:t xml:space="preserve">Andrews, George Reid. Afro-Latin America: Black Lives, 1600–2000. Harvard University Press.</w:t>
      </w:r>
    </w:p>
    <w:p>
      <w:pPr>
        <w:spacing w:before="60" w:after="60" w:line="320"/>
        <w:ind w:left="720" w:hanging="720"/>
        <w:jc w:val="both"/>
      </w:pPr>
      <w:r>
        <w:rPr>
          <w:rFonts w:ascii="Times New Roman" w:cs="Times New Roman" w:eastAsia="Times New Roman" w:hAnsi="Times New Roman"/>
          <w:sz w:val="20"/>
          <w:szCs w:val="20"/>
        </w:rPr>
        <w:t xml:space="preserve">Anzaldúa, Gloria. Borderlands/La Frontera: The New Mestiza. Aunt Lute Books.</w:t>
      </w:r>
    </w:p>
    <w:p>
      <w:pPr>
        <w:spacing w:before="60" w:after="60" w:line="320"/>
        <w:ind w:left="720" w:hanging="720"/>
        <w:jc w:val="both"/>
      </w:pPr>
      <w:r>
        <w:rPr>
          <w:rFonts w:ascii="Times New Roman" w:cs="Times New Roman" w:eastAsia="Times New Roman" w:hAnsi="Times New Roman"/>
          <w:sz w:val="20"/>
          <w:szCs w:val="20"/>
        </w:rPr>
        <w:t xml:space="preserve">Aragón Andrade, Orlando. El derecho en insurrección: Hacia una antropología jurídica militante desde la experiencia de Cherán. UMSNH.</w:t>
      </w:r>
    </w:p>
    <w:p>
      <w:pPr>
        <w:spacing w:before="60" w:after="60" w:line="320"/>
        <w:ind w:left="720" w:hanging="720"/>
        <w:jc w:val="both"/>
      </w:pPr>
      <w:r>
        <w:rPr>
          <w:rFonts w:ascii="Times New Roman" w:cs="Times New Roman" w:eastAsia="Times New Roman" w:hAnsi="Times New Roman"/>
          <w:sz w:val="20"/>
          <w:szCs w:val="20"/>
        </w:rPr>
        <w:t xml:space="preserve">Astorga, Luis. Drogas sin fronteras. Grijalbo.</w:t>
      </w:r>
    </w:p>
    <w:p>
      <w:pPr>
        <w:spacing w:before="60" w:after="60" w:line="320"/>
        <w:ind w:left="720" w:hanging="720"/>
        <w:jc w:val="both"/>
      </w:pPr>
      <w:r>
        <w:rPr>
          <w:rFonts w:ascii="Times New Roman" w:cs="Times New Roman" w:eastAsia="Times New Roman" w:hAnsi="Times New Roman"/>
          <w:sz w:val="20"/>
          <w:szCs w:val="20"/>
        </w:rPr>
        <w:t xml:space="preserve">Benjamin, Ruha. Race After Technology. Polity Press.</w:t>
      </w:r>
    </w:p>
    <w:p>
      <w:pPr>
        <w:spacing w:before="60" w:after="60" w:line="320"/>
        <w:ind w:left="720" w:hanging="720"/>
        <w:jc w:val="both"/>
      </w:pPr>
      <w:r>
        <w:rPr>
          <w:rFonts w:ascii="Times New Roman" w:cs="Times New Roman" w:eastAsia="Times New Roman" w:hAnsi="Times New Roman"/>
          <w:sz w:val="20"/>
          <w:szCs w:val="20"/>
        </w:rPr>
        <w:t xml:space="preserve">Bennett, Herman L. Colonial Blackness: A History of Afro-Mexico. Indiana University Press.</w:t>
      </w:r>
    </w:p>
    <w:p>
      <w:pPr>
        <w:spacing w:before="60" w:after="60" w:line="320"/>
        <w:ind w:left="720" w:hanging="720"/>
        <w:jc w:val="both"/>
      </w:pPr>
      <w:r>
        <w:rPr>
          <w:rFonts w:ascii="Times New Roman" w:cs="Times New Roman" w:eastAsia="Times New Roman" w:hAnsi="Times New Roman"/>
          <w:sz w:val="20"/>
          <w:szCs w:val="20"/>
        </w:rPr>
        <w:t xml:space="preserve">Bonfil Batalla, Guillermo. México Profundo: Una civilización negada. Grijalbo.</w:t>
      </w:r>
    </w:p>
    <w:p>
      <w:pPr>
        <w:spacing w:before="60" w:after="60" w:line="320"/>
        <w:ind w:left="720" w:hanging="720"/>
        <w:jc w:val="both"/>
      </w:pPr>
      <w:r>
        <w:rPr>
          <w:rFonts w:ascii="Times New Roman" w:cs="Times New Roman" w:eastAsia="Times New Roman" w:hAnsi="Times New Roman"/>
          <w:sz w:val="20"/>
          <w:szCs w:val="20"/>
        </w:rPr>
        <w:t xml:space="preserve">Cabnal, Lorena. "Acercamiento a la construcción del pensamiento epistémico de las mujeres indígenas comunitarias de Abya Yala". Asociación para la Cooperación con el Sur.</w:t>
      </w:r>
    </w:p>
    <w:p>
      <w:pPr>
        <w:spacing w:before="60" w:after="60" w:line="320"/>
        <w:ind w:left="720" w:hanging="720"/>
        <w:jc w:val="both"/>
      </w:pPr>
      <w:r>
        <w:rPr>
          <w:rFonts w:ascii="Times New Roman" w:cs="Times New Roman" w:eastAsia="Times New Roman" w:hAnsi="Times New Roman"/>
          <w:sz w:val="20"/>
          <w:szCs w:val="20"/>
        </w:rPr>
        <w:t xml:space="preserve">Costanza-Chock, Sasha. Design Justice. MIT Press.</w:t>
      </w:r>
    </w:p>
    <w:p>
      <w:pPr>
        <w:spacing w:before="60" w:after="60" w:line="320"/>
        <w:ind w:left="720" w:hanging="720"/>
        <w:jc w:val="both"/>
      </w:pPr>
      <w:r>
        <w:rPr>
          <w:rFonts w:ascii="Times New Roman" w:cs="Times New Roman" w:eastAsia="Times New Roman" w:hAnsi="Times New Roman"/>
          <w:sz w:val="20"/>
          <w:szCs w:val="20"/>
        </w:rPr>
        <w:t xml:space="preserve">Couldry, Nick &amp; Mejias, Ulises. The Costs of Connection. Stanford University Press.</w:t>
      </w:r>
    </w:p>
    <w:p>
      <w:pPr>
        <w:spacing w:before="60" w:after="60" w:line="320"/>
        <w:ind w:left="720" w:hanging="720"/>
        <w:jc w:val="both"/>
      </w:pPr>
      <w:r>
        <w:rPr>
          <w:rFonts w:ascii="Times New Roman" w:cs="Times New Roman" w:eastAsia="Times New Roman" w:hAnsi="Times New Roman"/>
          <w:sz w:val="20"/>
          <w:szCs w:val="20"/>
        </w:rPr>
        <w:t xml:space="preserve">Cowling, Camillia. Conceiving Freedom: Women of Color, Gender, and the Abolition of Slavery in Havana and Rio de Janeiro. University of North Carolina Press.</w:t>
      </w:r>
    </w:p>
    <w:p>
      <w:pPr>
        <w:spacing w:before="60" w:after="60" w:line="320"/>
        <w:ind w:left="720" w:hanging="720"/>
        <w:jc w:val="both"/>
      </w:pPr>
      <w:r>
        <w:rPr>
          <w:rFonts w:ascii="Times New Roman" w:cs="Times New Roman" w:eastAsia="Times New Roman" w:hAnsi="Times New Roman"/>
          <w:sz w:val="20"/>
          <w:szCs w:val="20"/>
        </w:rPr>
        <w:t xml:space="preserve">Curiel, Ochy. La Nación Heterosexual. Brecha Lésbica / En la frontera.</w:t>
      </w:r>
    </w:p>
    <w:p>
      <w:pPr>
        <w:spacing w:before="60" w:after="60" w:line="320"/>
        <w:ind w:left="720" w:hanging="720"/>
        <w:jc w:val="both"/>
      </w:pPr>
      <w:r>
        <w:rPr>
          <w:rFonts w:ascii="Times New Roman" w:cs="Times New Roman" w:eastAsia="Times New Roman" w:hAnsi="Times New Roman"/>
          <w:sz w:val="20"/>
          <w:szCs w:val="20"/>
        </w:rPr>
        <w:t xml:space="preserve">Davis, Mike. Planet of Slums. Verso.</w:t>
      </w:r>
    </w:p>
    <w:p>
      <w:pPr>
        <w:spacing w:before="60" w:after="60" w:line="320"/>
        <w:ind w:left="720" w:hanging="720"/>
        <w:jc w:val="both"/>
      </w:pPr>
      <w:r>
        <w:rPr>
          <w:rFonts w:ascii="Times New Roman" w:cs="Times New Roman" w:eastAsia="Times New Roman" w:hAnsi="Times New Roman"/>
          <w:sz w:val="20"/>
          <w:szCs w:val="20"/>
        </w:rPr>
        <w:t xml:space="preserve">Delgado Wise, Raúl &amp; Márquez Covarrubias, Humberto. "The Reshaping of Mexican Labor Exports under NAFTA: Paradoxes and Challenges". World Development.</w:t>
      </w:r>
    </w:p>
    <w:p>
      <w:pPr>
        <w:spacing w:before="60" w:after="60" w:line="320"/>
        <w:ind w:left="720" w:hanging="720"/>
        <w:jc w:val="both"/>
      </w:pPr>
      <w:r>
        <w:rPr>
          <w:rFonts w:ascii="Times New Roman" w:cs="Times New Roman" w:eastAsia="Times New Roman" w:hAnsi="Times New Roman"/>
          <w:sz w:val="20"/>
          <w:szCs w:val="20"/>
        </w:rPr>
        <w:t xml:space="preserve">Díaz-Polanco, Héctor. La rebelión zapatista y la autonomía. Siglo XXI.</w:t>
      </w:r>
    </w:p>
    <w:p>
      <w:pPr>
        <w:spacing w:before="60" w:after="60" w:line="320"/>
        <w:ind w:left="720" w:hanging="720"/>
        <w:jc w:val="both"/>
      </w:pPr>
      <w:r>
        <w:rPr>
          <w:rFonts w:ascii="Times New Roman" w:cs="Times New Roman" w:eastAsia="Times New Roman" w:hAnsi="Times New Roman"/>
          <w:sz w:val="20"/>
          <w:szCs w:val="20"/>
        </w:rPr>
        <w:t xml:space="preserve">Durand, Jorge &amp; Massey, Douglas. Miracles on the Border: Retablos of Mexican Migrants to the United States. University of Arizona Press.</w:t>
      </w:r>
    </w:p>
    <w:p>
      <w:pPr>
        <w:spacing w:before="60" w:after="60" w:line="320"/>
        <w:ind w:left="720" w:hanging="720"/>
        <w:jc w:val="both"/>
      </w:pPr>
      <w:r>
        <w:rPr>
          <w:rFonts w:ascii="Times New Roman" w:cs="Times New Roman" w:eastAsia="Times New Roman" w:hAnsi="Times New Roman"/>
          <w:sz w:val="20"/>
          <w:szCs w:val="20"/>
        </w:rPr>
        <w:t xml:space="preserve">Dussel, Enrique. 1492: El encubrimiento del Otro. Plural Editores.</w:t>
      </w:r>
    </w:p>
    <w:p>
      <w:pPr>
        <w:spacing w:before="60" w:after="60" w:line="320"/>
        <w:ind w:left="720" w:hanging="720"/>
        <w:jc w:val="both"/>
      </w:pPr>
      <w:r>
        <w:rPr>
          <w:rFonts w:ascii="Times New Roman" w:cs="Times New Roman" w:eastAsia="Times New Roman" w:hAnsi="Times New Roman"/>
          <w:sz w:val="20"/>
          <w:szCs w:val="20"/>
        </w:rPr>
        <w:t xml:space="preserve">Dussel, Enrique. Ética de la Liberación. Trotta.</w:t>
      </w:r>
    </w:p>
    <w:p>
      <w:pPr>
        <w:spacing w:before="60" w:after="60" w:line="320"/>
        <w:ind w:left="720" w:hanging="720"/>
        <w:jc w:val="both"/>
      </w:pPr>
      <w:r>
        <w:rPr>
          <w:rFonts w:ascii="Times New Roman" w:cs="Times New Roman" w:eastAsia="Times New Roman" w:hAnsi="Times New Roman"/>
          <w:sz w:val="20"/>
          <w:szCs w:val="20"/>
        </w:rPr>
        <w:t xml:space="preserve">Dussel, Enrique. Filosofía de la liberación. FCE.</w:t>
      </w:r>
    </w:p>
    <w:p>
      <w:pPr>
        <w:spacing w:before="60" w:after="60" w:line="320"/>
        <w:ind w:left="720" w:hanging="720"/>
        <w:jc w:val="both"/>
      </w:pPr>
      <w:r>
        <w:rPr>
          <w:rFonts w:ascii="Times New Roman" w:cs="Times New Roman" w:eastAsia="Times New Roman" w:hAnsi="Times New Roman"/>
          <w:sz w:val="20"/>
          <w:szCs w:val="20"/>
        </w:rPr>
        <w:t xml:space="preserve">EZLN. Acuerdos de San Andrés Sacamch'en de los Pueblos Indios.</w:t>
      </w:r>
    </w:p>
    <w:p>
      <w:pPr>
        <w:spacing w:before="60" w:after="60" w:line="320"/>
        <w:ind w:left="720" w:hanging="720"/>
        <w:jc w:val="both"/>
      </w:pPr>
      <w:r>
        <w:rPr>
          <w:rFonts w:ascii="Times New Roman" w:cs="Times New Roman" w:eastAsia="Times New Roman" w:hAnsi="Times New Roman"/>
          <w:sz w:val="20"/>
          <w:szCs w:val="20"/>
        </w:rPr>
        <w:t xml:space="preserve">EZLN. Sexta Declaración de la Selva Lacandona.</w:t>
      </w:r>
    </w:p>
    <w:p>
      <w:pPr>
        <w:spacing w:before="60" w:after="60" w:line="320"/>
        <w:ind w:left="720" w:hanging="720"/>
        <w:jc w:val="both"/>
      </w:pPr>
      <w:r>
        <w:rPr>
          <w:rFonts w:ascii="Times New Roman" w:cs="Times New Roman" w:eastAsia="Times New Roman" w:hAnsi="Times New Roman"/>
          <w:sz w:val="20"/>
          <w:szCs w:val="20"/>
        </w:rPr>
        <w:t xml:space="preserve">Fanon, Frantz. Los condenados de la tierra. FCE.</w:t>
      </w:r>
    </w:p>
    <w:p>
      <w:pPr>
        <w:spacing w:before="60" w:after="60" w:line="320"/>
        <w:ind w:left="720" w:hanging="720"/>
        <w:jc w:val="both"/>
      </w:pPr>
      <w:r>
        <w:rPr>
          <w:rFonts w:ascii="Times New Roman" w:cs="Times New Roman" w:eastAsia="Times New Roman" w:hAnsi="Times New Roman"/>
          <w:sz w:val="20"/>
          <w:szCs w:val="20"/>
        </w:rPr>
        <w:t xml:space="preserve">Fanon, Frantz. Piel negra, máscaras blancas. Akal.</w:t>
      </w:r>
    </w:p>
    <w:p>
      <w:pPr>
        <w:spacing w:before="60" w:after="60" w:line="320"/>
        <w:ind w:left="720" w:hanging="720"/>
        <w:jc w:val="both"/>
      </w:pPr>
      <w:r>
        <w:rPr>
          <w:rFonts w:ascii="Times New Roman" w:cs="Times New Roman" w:eastAsia="Times New Roman" w:hAnsi="Times New Roman"/>
          <w:sz w:val="20"/>
          <w:szCs w:val="20"/>
        </w:rPr>
        <w:t xml:space="preserve">Foucault, Michel. Historia de la sexualidad I: La voluntad de saber. Siglo XXI.</w:t>
      </w:r>
    </w:p>
    <w:p>
      <w:pPr>
        <w:spacing w:before="60" w:after="60" w:line="320"/>
        <w:ind w:left="720" w:hanging="720"/>
        <w:jc w:val="both"/>
      </w:pPr>
      <w:r>
        <w:rPr>
          <w:rFonts w:ascii="Times New Roman" w:cs="Times New Roman" w:eastAsia="Times New Roman" w:hAnsi="Times New Roman"/>
          <w:sz w:val="20"/>
          <w:szCs w:val="20"/>
        </w:rPr>
        <w:t xml:space="preserve">Foucault, Michel. Seguridad, territorio, población. FCE.</w:t>
      </w:r>
    </w:p>
    <w:p>
      <w:pPr>
        <w:spacing w:before="60" w:after="60" w:line="320"/>
        <w:ind w:left="720" w:hanging="720"/>
        <w:jc w:val="both"/>
      </w:pPr>
      <w:r>
        <w:rPr>
          <w:rFonts w:ascii="Times New Roman" w:cs="Times New Roman" w:eastAsia="Times New Roman" w:hAnsi="Times New Roman"/>
          <w:sz w:val="20"/>
          <w:szCs w:val="20"/>
        </w:rPr>
        <w:t xml:space="preserve">Freire, Paulo. Pedagogía del oprimido. Siglo XXI.</w:t>
      </w:r>
    </w:p>
    <w:p>
      <w:pPr>
        <w:spacing w:before="60" w:after="60" w:line="320"/>
        <w:ind w:left="720" w:hanging="720"/>
        <w:jc w:val="both"/>
      </w:pPr>
      <w:r>
        <w:rPr>
          <w:rFonts w:ascii="Times New Roman" w:cs="Times New Roman" w:eastAsia="Times New Roman" w:hAnsi="Times New Roman"/>
          <w:sz w:val="20"/>
          <w:szCs w:val="20"/>
        </w:rPr>
        <w:t xml:space="preserve">Gago, Verónica. La razón neoliberal: Economías barrocas y pragmática popular. Tinta Limón.</w:t>
      </w:r>
    </w:p>
    <w:p>
      <w:pPr>
        <w:spacing w:before="60" w:after="60" w:line="320"/>
        <w:ind w:left="720" w:hanging="720"/>
        <w:jc w:val="both"/>
      </w:pPr>
      <w:r>
        <w:rPr>
          <w:rFonts w:ascii="Times New Roman" w:cs="Times New Roman" w:eastAsia="Times New Roman" w:hAnsi="Times New Roman"/>
          <w:sz w:val="20"/>
          <w:szCs w:val="20"/>
        </w:rPr>
        <w:t xml:space="preserve">Godínez, Alejandra. Memorias del sonido afro en la ciudad de México.</w:t>
      </w:r>
    </w:p>
    <w:p>
      <w:pPr>
        <w:spacing w:before="60" w:after="60" w:line="320"/>
        <w:ind w:left="720" w:hanging="720"/>
        <w:jc w:val="both"/>
      </w:pPr>
      <w:r>
        <w:rPr>
          <w:rFonts w:ascii="Times New Roman" w:cs="Times New Roman" w:eastAsia="Times New Roman" w:hAnsi="Times New Roman"/>
          <w:sz w:val="20"/>
          <w:szCs w:val="20"/>
        </w:rPr>
        <w:t xml:space="preserve">Grillo, Ioan. El Narco: Inside Mexico's Criminal Insurgency. Bloomsbury.</w:t>
      </w:r>
    </w:p>
    <w:p>
      <w:pPr>
        <w:spacing w:before="60" w:after="60" w:line="320"/>
        <w:ind w:left="720" w:hanging="720"/>
        <w:jc w:val="both"/>
      </w:pPr>
      <w:r>
        <w:rPr>
          <w:rFonts w:ascii="Times New Roman" w:cs="Times New Roman" w:eastAsia="Times New Roman" w:hAnsi="Times New Roman"/>
          <w:sz w:val="20"/>
          <w:szCs w:val="20"/>
        </w:rPr>
        <w:t xml:space="preserve">Han, Byung-Chul. La sociedad del cansancio. Herder.</w:t>
      </w:r>
    </w:p>
    <w:p>
      <w:pPr>
        <w:spacing w:before="60" w:after="60" w:line="320"/>
        <w:ind w:left="720" w:hanging="720"/>
        <w:jc w:val="both"/>
      </w:pPr>
      <w:r>
        <w:rPr>
          <w:rFonts w:ascii="Times New Roman" w:cs="Times New Roman" w:eastAsia="Times New Roman" w:hAnsi="Times New Roman"/>
          <w:sz w:val="20"/>
          <w:szCs w:val="20"/>
        </w:rPr>
        <w:t xml:space="preserve">Han, Byung-Chul. Psicopolítica. Herder.</w:t>
      </w:r>
    </w:p>
    <w:p>
      <w:pPr>
        <w:spacing w:before="60" w:after="60" w:line="320"/>
        <w:ind w:left="720" w:hanging="720"/>
        <w:jc w:val="both"/>
      </w:pPr>
      <w:r>
        <w:rPr>
          <w:rFonts w:ascii="Times New Roman" w:cs="Times New Roman" w:eastAsia="Times New Roman" w:hAnsi="Times New Roman"/>
          <w:sz w:val="20"/>
          <w:szCs w:val="20"/>
        </w:rPr>
        <w:t xml:space="preserve">Harvey, David. El nuevo imperialismo. Akal.</w:t>
      </w:r>
    </w:p>
    <w:p>
      <w:pPr>
        <w:spacing w:before="60" w:after="60" w:line="320"/>
        <w:ind w:left="720" w:hanging="720"/>
        <w:jc w:val="both"/>
      </w:pPr>
      <w:r>
        <w:rPr>
          <w:rFonts w:ascii="Times New Roman" w:cs="Times New Roman" w:eastAsia="Times New Roman" w:hAnsi="Times New Roman"/>
          <w:sz w:val="20"/>
          <w:szCs w:val="20"/>
        </w:rPr>
        <w:t xml:space="preserve">Harvey, David. Rebel Cities: From the Right to the City to the Urban Revolution. Verso.</w:t>
      </w:r>
    </w:p>
    <w:p>
      <w:pPr>
        <w:spacing w:before="60" w:after="60" w:line="320"/>
        <w:ind w:left="720" w:hanging="720"/>
        <w:jc w:val="both"/>
      </w:pPr>
      <w:r>
        <w:rPr>
          <w:rFonts w:ascii="Times New Roman" w:cs="Times New Roman" w:eastAsia="Times New Roman" w:hAnsi="Times New Roman"/>
          <w:sz w:val="20"/>
          <w:szCs w:val="20"/>
        </w:rPr>
        <w:t xml:space="preserve">Hernández Cuevas, Marco Polo. African Mexicans and the Discourse on Modern Nation. University Press of America.</w:t>
      </w:r>
    </w:p>
    <w:p>
      <w:pPr>
        <w:spacing w:before="60" w:after="60" w:line="320"/>
        <w:ind w:left="720" w:hanging="720"/>
        <w:jc w:val="both"/>
      </w:pPr>
      <w:r>
        <w:rPr>
          <w:rFonts w:ascii="Times New Roman" w:cs="Times New Roman" w:eastAsia="Times New Roman" w:hAnsi="Times New Roman"/>
          <w:sz w:val="20"/>
          <w:szCs w:val="20"/>
        </w:rPr>
        <w:t xml:space="preserve">Holloway, John. Cambiar el mundo sin tomar el poder. Herramienta.</w:t>
      </w:r>
    </w:p>
    <w:p>
      <w:pPr>
        <w:spacing w:before="60" w:after="60" w:line="320"/>
        <w:ind w:left="720" w:hanging="720"/>
        <w:jc w:val="both"/>
      </w:pPr>
      <w:r>
        <w:rPr>
          <w:rFonts w:ascii="Times New Roman" w:cs="Times New Roman" w:eastAsia="Times New Roman" w:hAnsi="Times New Roman"/>
          <w:sz w:val="20"/>
          <w:szCs w:val="20"/>
        </w:rPr>
        <w:t xml:space="preserve">hooks, bell. Enseñando a transgredir. Capitán Swing.</w:t>
      </w:r>
    </w:p>
    <w:p>
      <w:pPr>
        <w:spacing w:before="60" w:after="60" w:line="320"/>
        <w:ind w:left="720" w:hanging="720"/>
        <w:jc w:val="both"/>
      </w:pPr>
      <w:r>
        <w:rPr>
          <w:rFonts w:ascii="Times New Roman" w:cs="Times New Roman" w:eastAsia="Times New Roman" w:hAnsi="Times New Roman"/>
          <w:sz w:val="20"/>
          <w:szCs w:val="20"/>
        </w:rPr>
        <w:t xml:space="preserve">Krenak, Ailton. Ideas para posponer el fin del mundo. Urutau.</w:t>
      </w:r>
    </w:p>
    <w:p>
      <w:pPr>
        <w:spacing w:before="60" w:after="60" w:line="320"/>
        <w:ind w:left="720" w:hanging="720"/>
        <w:jc w:val="both"/>
      </w:pPr>
      <w:r>
        <w:rPr>
          <w:rFonts w:ascii="Times New Roman" w:cs="Times New Roman" w:eastAsia="Times New Roman" w:hAnsi="Times New Roman"/>
          <w:sz w:val="20"/>
          <w:szCs w:val="20"/>
        </w:rPr>
        <w:t xml:space="preserve">Lewis, Laura A. Hall of Mirrors: Power, Witchcraft, and Caste in Colonial Mexico. Duke University Press.</w:t>
      </w:r>
    </w:p>
    <w:p>
      <w:pPr>
        <w:spacing w:before="60" w:after="60" w:line="320"/>
        <w:ind w:left="720" w:hanging="720"/>
        <w:jc w:val="both"/>
      </w:pPr>
      <w:r>
        <w:rPr>
          <w:rFonts w:ascii="Times New Roman" w:cs="Times New Roman" w:eastAsia="Times New Roman" w:hAnsi="Times New Roman"/>
          <w:sz w:val="20"/>
          <w:szCs w:val="20"/>
        </w:rPr>
        <w:t xml:space="preserve">Liffman, Paul. Huichol Territory and the Mexican Nation. University of Arizona Press.</w:t>
      </w:r>
    </w:p>
    <w:p>
      <w:pPr>
        <w:spacing w:before="60" w:after="60" w:line="320"/>
        <w:ind w:left="720" w:hanging="720"/>
        <w:jc w:val="both"/>
      </w:pPr>
      <w:r>
        <w:rPr>
          <w:rFonts w:ascii="Times New Roman" w:cs="Times New Roman" w:eastAsia="Times New Roman" w:hAnsi="Times New Roman"/>
          <w:sz w:val="20"/>
          <w:szCs w:val="20"/>
        </w:rPr>
        <w:t xml:space="preserve">Lugones, María. "Heterosexualism and the Colonial/Modern Gender System". Hypatia.</w:t>
      </w:r>
    </w:p>
    <w:p>
      <w:pPr>
        <w:spacing w:before="60" w:after="60" w:line="320"/>
        <w:ind w:left="720" w:hanging="720"/>
        <w:jc w:val="both"/>
      </w:pPr>
      <w:r>
        <w:rPr>
          <w:rFonts w:ascii="Times New Roman" w:cs="Times New Roman" w:eastAsia="Times New Roman" w:hAnsi="Times New Roman"/>
          <w:sz w:val="20"/>
          <w:szCs w:val="20"/>
        </w:rPr>
        <w:t xml:space="preserve">Machado, Horacio. Los dolores de Nuestra América y la condición neocolonial. CLACSO.</w:t>
      </w:r>
    </w:p>
    <w:p>
      <w:pPr>
        <w:spacing w:before="60" w:after="60" w:line="320"/>
        <w:ind w:left="720" w:hanging="720"/>
        <w:jc w:val="both"/>
      </w:pPr>
      <w:r>
        <w:rPr>
          <w:rFonts w:ascii="Times New Roman" w:cs="Times New Roman" w:eastAsia="Times New Roman" w:hAnsi="Times New Roman"/>
          <w:sz w:val="20"/>
          <w:szCs w:val="20"/>
        </w:rPr>
        <w:t xml:space="preserve">Mbembe, Achille. Necropolítica. Melusina.</w:t>
      </w:r>
    </w:p>
    <w:p>
      <w:pPr>
        <w:spacing w:before="60" w:after="60" w:line="320"/>
        <w:ind w:left="720" w:hanging="720"/>
        <w:jc w:val="both"/>
      </w:pPr>
      <w:r>
        <w:rPr>
          <w:rFonts w:ascii="Times New Roman" w:cs="Times New Roman" w:eastAsia="Times New Roman" w:hAnsi="Times New Roman"/>
          <w:sz w:val="20"/>
          <w:szCs w:val="20"/>
        </w:rPr>
        <w:t xml:space="preserve">Memmi, Albert. Retrato del colonizado. Cuadernos para el Diálogo.</w:t>
      </w:r>
    </w:p>
    <w:p>
      <w:pPr>
        <w:spacing w:before="60" w:after="60" w:line="320"/>
        <w:ind w:left="720" w:hanging="720"/>
        <w:jc w:val="both"/>
      </w:pPr>
      <w:r>
        <w:rPr>
          <w:rFonts w:ascii="Times New Roman" w:cs="Times New Roman" w:eastAsia="Times New Roman" w:hAnsi="Times New Roman"/>
          <w:sz w:val="20"/>
          <w:szCs w:val="20"/>
        </w:rPr>
        <w:t xml:space="preserve">Mignolo, Walter. Historias locales / diseños globales: Colonialidad, saberes subalternos y pensamiento fronterizo. Akal.</w:t>
      </w:r>
    </w:p>
    <w:p>
      <w:pPr>
        <w:spacing w:before="60" w:after="60" w:line="320"/>
        <w:ind w:left="720" w:hanging="720"/>
        <w:jc w:val="both"/>
      </w:pPr>
      <w:r>
        <w:rPr>
          <w:rFonts w:ascii="Times New Roman" w:cs="Times New Roman" w:eastAsia="Times New Roman" w:hAnsi="Times New Roman"/>
          <w:sz w:val="20"/>
          <w:szCs w:val="20"/>
        </w:rPr>
        <w:t xml:space="preserve">Moraga, Cherríe &amp; Anzaldúa, Gloria (eds.). This Bridge Called My Back: Writings by Radical Women of Color. Kitchen Table Press.</w:t>
      </w:r>
    </w:p>
    <w:p>
      <w:pPr>
        <w:spacing w:before="60" w:after="60" w:line="320"/>
        <w:ind w:left="720" w:hanging="720"/>
        <w:jc w:val="both"/>
      </w:pPr>
      <w:r>
        <w:rPr>
          <w:rFonts w:ascii="Times New Roman" w:cs="Times New Roman" w:eastAsia="Times New Roman" w:hAnsi="Times New Roman"/>
          <w:sz w:val="20"/>
          <w:szCs w:val="20"/>
        </w:rPr>
        <w:t xml:space="preserve">Noble, Safiya Umoja. Algorithms of Oppression. NYU Press.</w:t>
      </w:r>
    </w:p>
    <w:p>
      <w:pPr>
        <w:spacing w:before="60" w:after="60" w:line="320"/>
        <w:ind w:left="720" w:hanging="720"/>
        <w:jc w:val="both"/>
      </w:pPr>
      <w:r>
        <w:rPr>
          <w:rFonts w:ascii="Times New Roman" w:cs="Times New Roman" w:eastAsia="Times New Roman" w:hAnsi="Times New Roman"/>
          <w:sz w:val="20"/>
          <w:szCs w:val="20"/>
        </w:rPr>
        <w:t xml:space="preserve">Quijano, Aníbal. "Colonialidad del poder, eurocentrismo y América Latina". En: Lander, E. (comp.). La colonialidad del saber. CLACSO.</w:t>
      </w:r>
    </w:p>
    <w:p>
      <w:pPr>
        <w:spacing w:before="60" w:after="60" w:line="320"/>
        <w:ind w:left="720" w:hanging="720"/>
        <w:jc w:val="both"/>
      </w:pPr>
      <w:r>
        <w:rPr>
          <w:rFonts w:ascii="Times New Roman" w:cs="Times New Roman" w:eastAsia="Times New Roman" w:hAnsi="Times New Roman"/>
          <w:sz w:val="20"/>
          <w:szCs w:val="20"/>
        </w:rPr>
        <w:t xml:space="preserve">Reguillo, Rossana. "La narcomáquina y el trabajo de la violencia: Apuntes para su decodificación". E-misférica.</w:t>
      </w:r>
    </w:p>
    <w:p>
      <w:pPr>
        <w:spacing w:before="60" w:after="60" w:line="320"/>
        <w:ind w:left="720" w:hanging="720"/>
        <w:jc w:val="both"/>
      </w:pPr>
      <w:r>
        <w:rPr>
          <w:rFonts w:ascii="Times New Roman" w:cs="Times New Roman" w:eastAsia="Times New Roman" w:hAnsi="Times New Roman"/>
          <w:sz w:val="20"/>
          <w:szCs w:val="20"/>
        </w:rPr>
        <w:t xml:space="preserve">Rivera Cusicanqui, Silvia. Ch'ixinakax utxiwa: Una reflexión sobre prácticas y discursos descolonizadores. Tinta Limón.</w:t>
      </w:r>
    </w:p>
    <w:p>
      <w:pPr>
        <w:spacing w:before="60" w:after="60" w:line="320"/>
        <w:ind w:left="720" w:hanging="720"/>
        <w:jc w:val="both"/>
      </w:pPr>
      <w:r>
        <w:rPr>
          <w:rFonts w:ascii="Times New Roman" w:cs="Times New Roman" w:eastAsia="Times New Roman" w:hAnsi="Times New Roman"/>
          <w:sz w:val="20"/>
          <w:szCs w:val="20"/>
        </w:rPr>
        <w:t xml:space="preserve">Rivera-Rideau, Petra. Remixing Reggaetón: The Cultural Politics of Race in Puerto Rico. Duke University Press.</w:t>
      </w:r>
    </w:p>
    <w:p>
      <w:pPr>
        <w:spacing w:before="60" w:after="60" w:line="320"/>
        <w:ind w:left="720" w:hanging="720"/>
        <w:jc w:val="both"/>
      </w:pPr>
      <w:r>
        <w:rPr>
          <w:rFonts w:ascii="Times New Roman" w:cs="Times New Roman" w:eastAsia="Times New Roman" w:hAnsi="Times New Roman"/>
          <w:sz w:val="20"/>
          <w:szCs w:val="20"/>
        </w:rPr>
        <w:t xml:space="preserve">Santos, Boaventura de Sousa. Epistemologías del Sur. Morata.</w:t>
      </w:r>
    </w:p>
    <w:p>
      <w:pPr>
        <w:spacing w:before="60" w:after="60" w:line="320"/>
        <w:ind w:left="720" w:hanging="720"/>
        <w:jc w:val="both"/>
      </w:pPr>
      <w:r>
        <w:rPr>
          <w:rFonts w:ascii="Times New Roman" w:cs="Times New Roman" w:eastAsia="Times New Roman" w:hAnsi="Times New Roman"/>
          <w:sz w:val="20"/>
          <w:szCs w:val="20"/>
        </w:rPr>
        <w:t xml:space="preserve">Scott, James C. Seeing Like a State: How Certain Schemes to Improve the Human Condition Have Failed. Yale University Press.</w:t>
      </w:r>
    </w:p>
    <w:p>
      <w:pPr>
        <w:spacing w:before="60" w:after="60" w:line="320"/>
        <w:ind w:left="720" w:hanging="720"/>
        <w:jc w:val="both"/>
      </w:pPr>
      <w:r>
        <w:rPr>
          <w:rFonts w:ascii="Times New Roman" w:cs="Times New Roman" w:eastAsia="Times New Roman" w:hAnsi="Times New Roman"/>
          <w:sz w:val="20"/>
          <w:szCs w:val="20"/>
        </w:rPr>
        <w:t xml:space="preserve">Segato, Rita. La crítica de la colonialidad en ocho ensayos. Prometeo.</w:t>
      </w:r>
    </w:p>
    <w:p>
      <w:pPr>
        <w:spacing w:before="60" w:after="60" w:line="320"/>
        <w:ind w:left="720" w:hanging="720"/>
        <w:jc w:val="both"/>
      </w:pPr>
      <w:r>
        <w:rPr>
          <w:rFonts w:ascii="Times New Roman" w:cs="Times New Roman" w:eastAsia="Times New Roman" w:hAnsi="Times New Roman"/>
          <w:sz w:val="20"/>
          <w:szCs w:val="20"/>
        </w:rPr>
        <w:t xml:space="preserve">Segato, Rita. La guerra contra las mujeres. Traficantes de Sueños.</w:t>
      </w:r>
    </w:p>
    <w:p>
      <w:pPr>
        <w:spacing w:before="60" w:after="60" w:line="320"/>
        <w:ind w:left="720" w:hanging="720"/>
        <w:jc w:val="both"/>
      </w:pPr>
      <w:r>
        <w:rPr>
          <w:rFonts w:ascii="Times New Roman" w:cs="Times New Roman" w:eastAsia="Times New Roman" w:hAnsi="Times New Roman"/>
          <w:sz w:val="20"/>
          <w:szCs w:val="20"/>
        </w:rPr>
        <w:t xml:space="preserve">Standing, Guy. The Precariat: The New Dangerous Class. Bloomsbury.</w:t>
      </w:r>
    </w:p>
    <w:p>
      <w:pPr>
        <w:spacing w:before="60" w:after="60" w:line="320"/>
        <w:ind w:left="720" w:hanging="720"/>
        <w:jc w:val="both"/>
      </w:pPr>
      <w:r>
        <w:rPr>
          <w:rFonts w:ascii="Times New Roman" w:cs="Times New Roman" w:eastAsia="Times New Roman" w:hAnsi="Times New Roman"/>
          <w:sz w:val="20"/>
          <w:szCs w:val="20"/>
        </w:rPr>
        <w:t xml:space="preserve">Sue, Christina. Land of the Cosmic Race: Race Mixture, Racism, and Blackness in Mexico. Oxford University Press.</w:t>
      </w:r>
    </w:p>
    <w:p>
      <w:pPr>
        <w:spacing w:before="60" w:after="60" w:line="320"/>
        <w:ind w:left="720" w:hanging="720"/>
        <w:jc w:val="both"/>
      </w:pPr>
      <w:r>
        <w:rPr>
          <w:rFonts w:ascii="Times New Roman" w:cs="Times New Roman" w:eastAsia="Times New Roman" w:hAnsi="Times New Roman"/>
          <w:sz w:val="20"/>
          <w:szCs w:val="20"/>
        </w:rPr>
        <w:t xml:space="preserve">Telles, Edward (coord.). Pigmentocracies: Ethnicity, Race, and Color in Latin America. University of North Carolina Press.</w:t>
      </w:r>
    </w:p>
    <w:p>
      <w:pPr>
        <w:spacing w:before="60" w:after="60" w:line="320"/>
        <w:ind w:left="720" w:hanging="720"/>
        <w:jc w:val="both"/>
      </w:pPr>
      <w:r>
        <w:rPr>
          <w:rFonts w:ascii="Times New Roman" w:cs="Times New Roman" w:eastAsia="Times New Roman" w:hAnsi="Times New Roman"/>
          <w:sz w:val="20"/>
          <w:szCs w:val="20"/>
        </w:rPr>
        <w:t xml:space="preserve">Toledo, Víctor M. Ecología, espiritualidad y conocimiento. PNUMA/Jitanjáfora.</w:t>
      </w:r>
    </w:p>
    <w:p>
      <w:pPr>
        <w:spacing w:before="60" w:after="60" w:line="320"/>
        <w:ind w:left="720" w:hanging="720"/>
        <w:jc w:val="both"/>
      </w:pPr>
      <w:r>
        <w:rPr>
          <w:rFonts w:ascii="Times New Roman" w:cs="Times New Roman" w:eastAsia="Times New Roman" w:hAnsi="Times New Roman"/>
          <w:sz w:val="20"/>
          <w:szCs w:val="20"/>
        </w:rPr>
        <w:t xml:space="preserve">Trouillot, Michel-Rolph. Silencing the Past: Power and the Production of History. Beacon Press.</w:t>
      </w:r>
    </w:p>
    <w:p>
      <w:pPr>
        <w:spacing w:before="60" w:after="60" w:line="320"/>
        <w:ind w:left="720" w:hanging="720"/>
        <w:jc w:val="both"/>
      </w:pPr>
      <w:r>
        <w:rPr>
          <w:rFonts w:ascii="Times New Roman" w:cs="Times New Roman" w:eastAsia="Times New Roman" w:hAnsi="Times New Roman"/>
          <w:sz w:val="20"/>
          <w:szCs w:val="20"/>
        </w:rPr>
        <w:t xml:space="preserve">Tufekci, Zeynep. Twitter and Tear Gas: The Power and Fragility of Networked Protest. Yale University Press.</w:t>
      </w:r>
    </w:p>
    <w:p>
      <w:pPr>
        <w:spacing w:before="60" w:after="60" w:line="320"/>
        <w:ind w:left="720" w:hanging="720"/>
        <w:jc w:val="both"/>
      </w:pPr>
      <w:r>
        <w:rPr>
          <w:rFonts w:ascii="Times New Roman" w:cs="Times New Roman" w:eastAsia="Times New Roman" w:hAnsi="Times New Roman"/>
          <w:sz w:val="20"/>
          <w:szCs w:val="20"/>
        </w:rPr>
        <w:t xml:space="preserve">Valenzuela, José Manuel. Jefe de jefes: Corridos y narcocultura en México. Plaza y Janés.</w:t>
      </w:r>
    </w:p>
    <w:p>
      <w:pPr>
        <w:spacing w:before="60" w:after="60" w:line="320"/>
        <w:ind w:left="720" w:hanging="720"/>
        <w:jc w:val="both"/>
      </w:pPr>
      <w:r>
        <w:rPr>
          <w:rFonts w:ascii="Times New Roman" w:cs="Times New Roman" w:eastAsia="Times New Roman" w:hAnsi="Times New Roman"/>
          <w:sz w:val="20"/>
          <w:szCs w:val="20"/>
        </w:rPr>
        <w:t xml:space="preserve">Vasconcelos, José. La raza cósmica. Espasa-Calpe.</w:t>
      </w:r>
    </w:p>
    <w:p>
      <w:pPr>
        <w:spacing w:before="60" w:after="60" w:line="320"/>
        <w:ind w:left="720" w:hanging="720"/>
        <w:jc w:val="both"/>
      </w:pPr>
      <w:r>
        <w:rPr>
          <w:rFonts w:ascii="Times New Roman" w:cs="Times New Roman" w:eastAsia="Times New Roman" w:hAnsi="Times New Roman"/>
          <w:sz w:val="20"/>
          <w:szCs w:val="20"/>
        </w:rPr>
        <w:t xml:space="preserve">Velázquez, María Elisa. Mujeres de origen africano en la capital novohispana, siglos XVII y XVIII. INAH / PUEG-UNAM.</w:t>
      </w:r>
    </w:p>
    <w:p>
      <w:pPr>
        <w:spacing w:before="60" w:after="60" w:line="320"/>
        <w:ind w:left="720" w:hanging="720"/>
        <w:jc w:val="both"/>
      </w:pPr>
      <w:r>
        <w:rPr>
          <w:rFonts w:ascii="Times New Roman" w:cs="Times New Roman" w:eastAsia="Times New Roman" w:hAnsi="Times New Roman"/>
          <w:sz w:val="20"/>
          <w:szCs w:val="20"/>
        </w:rPr>
        <w:t xml:space="preserve">Walsh, Catherine. Pedagogías decoloniales. Abya-Yala.</w:t>
      </w:r>
    </w:p>
    <w:p>
      <w:pPr>
        <w:spacing w:before="60" w:after="60" w:line="320"/>
        <w:ind w:left="720" w:hanging="720"/>
        <w:jc w:val="both"/>
      </w:pPr>
      <w:r>
        <w:rPr>
          <w:rFonts w:ascii="Times New Roman" w:cs="Times New Roman" w:eastAsia="Times New Roman" w:hAnsi="Times New Roman"/>
          <w:sz w:val="20"/>
          <w:szCs w:val="20"/>
        </w:rPr>
        <w:t xml:space="preserve">Warman, Arturo. El campo mexicano en el siglo XX. FCE.</w:t>
      </w:r>
    </w:p>
    <w:p>
      <w:pPr>
        <w:spacing w:before="60" w:after="60" w:line="320"/>
        <w:ind w:left="720" w:hanging="720"/>
        <w:jc w:val="both"/>
      </w:pPr>
      <w:r>
        <w:rPr>
          <w:rFonts w:ascii="Times New Roman" w:cs="Times New Roman" w:eastAsia="Times New Roman" w:hAnsi="Times New Roman"/>
          <w:sz w:val="20"/>
          <w:szCs w:val="20"/>
        </w:rPr>
        <w:t xml:space="preserve">Webber, Jeffery R. The Last Day of Oppression, and the First Day of the Same. Haymarket.</w:t>
      </w:r>
    </w:p>
    <w:p>
      <w:pPr>
        <w:spacing w:before="60" w:after="60" w:line="320"/>
        <w:ind w:left="720" w:hanging="720"/>
        <w:jc w:val="both"/>
      </w:pPr>
      <w:r>
        <w:rPr>
          <w:rFonts w:ascii="Times New Roman" w:cs="Times New Roman" w:eastAsia="Times New Roman" w:hAnsi="Times New Roman"/>
          <w:sz w:val="20"/>
          <w:szCs w:val="20"/>
        </w:rPr>
        <w:t xml:space="preserve">Zibechi, Raúl. Territories in Resistance: A Cartography of Latin American Social Movements. AK Press.</w:t>
      </w:r>
    </w:p>
    <w:p>
      <w:pPr>
        <w:spacing w:before="60" w:after="60" w:line="320"/>
        <w:ind w:left="720" w:hanging="720"/>
        <w:jc w:val="both"/>
      </w:pPr>
      <w:r>
        <w:rPr>
          <w:rFonts w:ascii="Times New Roman" w:cs="Times New Roman" w:eastAsia="Times New Roman" w:hAnsi="Times New Roman"/>
          <w:sz w:val="20"/>
          <w:szCs w:val="20"/>
        </w:rPr>
        <w:t xml:space="preserve">Zuboff, Shoshana. The Age of Surveillance Capitalism. PublicAffairs.</w:t>
      </w:r>
    </w:p>
    <w:p>
      <w:pPr>
        <w:pBdr>
          <w:bottom w:val="single" w:color="333333" w:sz="4" w:space="1"/>
        </w:pBdr>
        <w:spacing w:before="200" w:after="200"/>
      </w:pPr>
      <w:r>
        <w:t xml:space="preserve"/>
      </w:r>
    </w:p>
    <w:p>
      <w:pPr>
        <w:spacing w:before="200" w:after="100"/>
        <w:jc w:val="center"/>
      </w:pPr>
      <w:r>
        <w:rPr>
          <w:rFonts w:ascii="Times New Roman" w:cs="Times New Roman" w:eastAsia="Times New Roman" w:hAnsi="Times New Roman"/>
          <w:b/>
          <w:bCs/>
          <w:sz w:val="26"/>
          <w:szCs w:val="26"/>
        </w:rPr>
        <w:t xml:space="preserve">Nota sobre el texto</w:t>
      </w:r>
    </w:p>
    <w:p>
      <w:pPr>
        <w:spacing w:before="0" w:after="160" w:line="360"/>
        <w:jc w:val="both"/>
      </w:pPr>
      <w:r>
        <w:rPr>
          <w:rFonts w:ascii="Times New Roman" w:cs="Times New Roman" w:eastAsia="Times New Roman" w:hAnsi="Times New Roman"/>
          <w:b w:val="false"/>
          <w:bCs w:val="false"/>
          <w:i w:val="false"/>
          <w:iCs w:val="false"/>
          <w:sz w:val="24"/>
          <w:szCs w:val="24"/>
        </w:rPr>
        <w:t xml:space="preserve">Este documento es un working paper que anticipa y sintetiza los argumentos centrales del libro Indio Yori – Teroyokori – Negro: El Mestizaje como Software Colonial y las Políticas del Olvido, actualmente en proceso de edición final. Los conceptos, tipologías y marcos analíticos aquí expuestos son propiedad intelectual del autor. Su circulación en formato paper tiene como objetivo establecer una base académica y pública de los planteamientos del libro, mientras este completa su proceso de publicación. Se autoriza la cita con atribución correcta al autor y a este documento.</w:t>
      </w:r>
    </w:p>
    <w:sectPr>
      <w:headerReference w:type="default" r:id="rId6"/>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before="120"/>
      <w:jc w:val="center"/>
    </w:pPr>
    <w:r>
      <w:rPr>
        <w:rFonts w:ascii="Times New Roman" w:cs="Times New Roman" w:eastAsia="Times New Roman" w:hAnsi="Times New Roman"/>
        <w:color w:val="555555"/>
        <w:sz w:val="20"/>
        <w:szCs w:val="20"/>
      </w:rPr>
      <w:t xml:space="preserv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r>
      <w:rPr>
        <w:rFonts w:ascii="Times New Roman" w:cs="Times New Roman" w:eastAsia="Times New Roman" w:hAnsi="Times New Roman"/>
        <w:color w:val="555555"/>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120"/>
      <w:jc w:val="right"/>
    </w:pPr>
    <w:r>
      <w:rPr>
        <w:rFonts w:ascii="Times New Roman" w:cs="Times New Roman" w:eastAsia="Times New Roman" w:hAnsi="Times New Roman"/>
        <w:i/>
        <w:iCs/>
        <w:color w:val="555555"/>
        <w:sz w:val="20"/>
        <w:szCs w:val="20"/>
      </w:rPr>
      <w:t xml:space="preserve">Indio Yori – Teroyokori – Negro | 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2026-02-19T23:42:56.191Z</dcterms:created>
  <dcterms:modified xsi:type="dcterms:W3CDTF">2026-02-19T23:42:56.192Z</dcterms:modified>
</cp:coreProperties>
</file>

<file path=docProps/custom.xml><?xml version="1.0" encoding="utf-8"?>
<Properties xmlns="http://schemas.openxmlformats.org/officeDocument/2006/custom-properties" xmlns:vt="http://schemas.openxmlformats.org/officeDocument/2006/docPropsVTypes"/>
</file>