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76C94AA1" w:rsidR="001F2EBE" w:rsidRPr="000F53A9" w:rsidRDefault="00753982">
      <w:pPr>
        <w:spacing w:before="120" w:after="120"/>
      </w:pPr>
      <w:r w:rsidRPr="000F53A9">
        <w:t xml:space="preserve">the receptor sensitivity </w:t>
      </w:r>
      <w:r w:rsidR="00507115">
        <w:t xml:space="preserve">concentration dependence </w:t>
      </w:r>
      <w:r w:rsidR="00507115" w:rsidRPr="000F53A9">
        <w:t>exhibits two peaks</w:t>
      </w:r>
      <w:r w:rsidR="00507115">
        <w:t xml:space="preserve">, and the equation is scaled when </w:t>
      </w:r>
      <w:r w:rsidRPr="000F53A9">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t xml:space="preserve">. </w:t>
      </w:r>
      <w:r w:rsidRPr="000F53A9">
        <w:t xml:space="preserve">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w:t>
      </w:r>
      <w:r w:rsidR="00507115">
        <w:t xml:space="preserve"> reached is</w:t>
      </w:r>
      <w:r w:rsidR="009B15B7" w:rsidRPr="000F53A9">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0BF555BA"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36C37125" w:rsidR="0030055B" w:rsidRPr="000F53A9" w:rsidRDefault="00507115">
      <w:pPr>
        <w:spacing w:before="120" w:after="120"/>
      </w:pPr>
      <w:r>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t xml:space="preserve"> is the drift velocity along the attractant gradient (x-axis)</w:t>
      </w:r>
      <w:r w:rsidR="00AA740E">
        <w:t xml:space="preserve">. </w:t>
      </w:r>
    </w:p>
    <w:p w14:paraId="3E14841A" w14:textId="12ED1FBD"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AA740E">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4474D370"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The rate of tumbling is a product of the timed rate of change of receptor protein bound</w:t>
      </w:r>
      <w:r w:rsidR="00AA740E">
        <w:t xml:space="preserve"> from Eq. (5)</w:t>
      </w:r>
      <w:r w:rsidRPr="000F53A9">
        <w:t xml:space="preserve">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he difference in tumbling</w:t>
      </w:r>
      <w:r w:rsidR="00AA740E">
        <w:t xml:space="preserve"> for a stochastic run-and-tumble model</w:t>
      </w:r>
      <w:r w:rsidRPr="000F53A9">
        <w:t xml:space="preserve">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E34DC4">
        <w:t xml:space="preserve"> </w:t>
      </w:r>
      <w:sdt>
        <w:sdtPr>
          <w:id w:val="70629499"/>
          <w:citation/>
        </w:sdtPr>
        <w:sdtContent>
          <w:r w:rsidR="00E34DC4">
            <w:fldChar w:fldCharType="begin"/>
          </w:r>
          <w:r w:rsidR="00E34DC4">
            <w:instrText xml:space="preserve"> CITATION Bro74 \l 1033 </w:instrText>
          </w:r>
          <w:r w:rsidR="00E34DC4">
            <w:fldChar w:fldCharType="separate"/>
          </w:r>
          <w:r w:rsidR="00E34DC4">
            <w:rPr>
              <w:noProof/>
            </w:rPr>
            <w:t>[7]</w:t>
          </w:r>
          <w:r w:rsidR="00E34DC4">
            <w:fldChar w:fldCharType="end"/>
          </w:r>
        </w:sdtContent>
      </w:sdt>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9464BE">
        <w:rPr>
          <w:lang w:val="en-CA"/>
        </w:rPr>
        <w:t xml:space="preserve"> (see Results and Discussion for further details)</w:t>
      </w:r>
      <w:r w:rsidR="00E34DC4">
        <w:rPr>
          <w:lang w:val="en-CA"/>
        </w:rPr>
        <w:t xml:space="preserve"> </w:t>
      </w:r>
      <w:sdt>
        <w:sdtPr>
          <w:id w:val="-255526835"/>
          <w:citation/>
        </w:sdtPr>
        <w:sdtContent>
          <w:r w:rsidR="00E34DC4" w:rsidRPr="000F53A9">
            <w:fldChar w:fldCharType="begin"/>
          </w:r>
          <w:r w:rsidR="00E34DC4" w:rsidRPr="000F53A9">
            <w:instrText xml:space="preserve"> CITATION Bro74 \l 1033 </w:instrText>
          </w:r>
          <w:r w:rsidR="00E34DC4" w:rsidRPr="000F53A9">
            <w:fldChar w:fldCharType="separate"/>
          </w:r>
          <w:r w:rsidR="00E34DC4">
            <w:rPr>
              <w:noProof/>
            </w:rPr>
            <w:t>[7]</w:t>
          </w:r>
          <w:r w:rsidR="00E34DC4" w:rsidRPr="000F53A9">
            <w:fldChar w:fldCharType="end"/>
          </w:r>
        </w:sdtContent>
      </w:sdt>
      <w:r w:rsidR="00CE440C" w:rsidRPr="000F53A9">
        <w:rPr>
          <w:lang w:val="en-CA"/>
        </w:rPr>
        <w:t>.</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rsidP="003A1B5D">
      <w:pPr>
        <w:spacing w:before="120" w:after="120"/>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1F43D4">
        <w:trPr>
          <w:trHeight w:val="1533"/>
        </w:trPr>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 xml:space="preserve">that </w:t>
      </w:r>
      <w:r w:rsidR="001F43D4">
        <w:t xml:space="preserve">likely </w:t>
      </w:r>
      <w:r w:rsidR="00EF412F" w:rsidRPr="000F53A9">
        <w:t>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59207558" w:rsidR="00CB6B62" w:rsidRPr="000F53A9" w:rsidRDefault="001E58D6" w:rsidP="009A792B">
      <w:pPr>
        <w:rPr>
          <w:rFonts w:eastAsiaTheme="minorEastAsia"/>
        </w:rPr>
      </w:pPr>
      <w:r w:rsidRPr="00E3292B">
        <w:t xml:space="preserve">Over the alpha window, the expectation function can be </w:t>
      </w:r>
      <w:r w:rsidR="00645A33">
        <w:t>represented as</w:t>
      </w:r>
      <w:r w:rsidRPr="00E3292B">
        <w:t xml:space="preserve"> a linear estimate </w:t>
      </w:r>
      <w:r w:rsidR="009A792B" w:rsidRPr="00E3292B">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E3292B">
        <w:t xml:space="preserve">, where </w:t>
      </w:r>
      <m:oMath>
        <m:r>
          <w:rPr>
            <w:rFonts w:ascii="Cambria Math" w:hAnsi="Cambria Math"/>
          </w:rPr>
          <m:t>m</m:t>
        </m:r>
      </m:oMath>
      <w:r w:rsidRPr="00E3292B">
        <w:t xml:space="preserve"> </w:t>
      </w:r>
      <w:r w:rsidR="00143C5B">
        <w:t>is</w:t>
      </w:r>
      <w:r w:rsidRPr="00E3292B">
        <w:t xml:space="preserve"> the </w:t>
      </w:r>
      <w:r w:rsidR="00F173A8" w:rsidRPr="00E3292B">
        <w:t>population</w:t>
      </w:r>
      <w:r w:rsidRPr="00E3292B">
        <w:t xml:space="preserve"> secant slope </w:t>
      </w:r>
      <w:r w:rsidR="00C3380E" w:rsidRPr="00E3292B">
        <w:t>of the alpha window</w:t>
      </w:r>
      <w:r w:rsidR="00E3292B">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t xml:space="preserve"> </w:t>
      </w:r>
      <w:r w:rsidR="00C3380E" w:rsidRPr="00E3292B">
        <w:t>between</w:t>
      </w:r>
      <w:r w:rsidRPr="00E32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E32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E3292B">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lastRenderedPageBreak/>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8F8119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645A33">
        <w:t>that</w:t>
      </w:r>
      <w:r w:rsidR="00143C5B" w:rsidRPr="00143C5B">
        <w:t xml:space="preserve"> causes the weighted least-squares regression line to differ from the true expectation function within the alpha window.</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06C26BD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0B8C47F3"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 xml:space="preserve">test was able to recover the correct macroscopic </w:t>
      </w:r>
      <w:r w:rsidR="009E7DDD" w:rsidRPr="009E7DDD">
        <w:rPr>
          <w:lang w:val="en-CA"/>
        </w:rPr>
        <w:t>drift velocity distribution</w:t>
      </w:r>
      <w:r w:rsidR="009E7DDD">
        <w:rPr>
          <w:lang w:val="en-CA"/>
        </w:rPr>
        <w:t xml:space="preserve"> </w:t>
      </w:r>
      <w:r w:rsidRPr="000F53A9">
        <w:rPr>
          <w:highlight w:val="white"/>
          <w:lang w:val="en-CA"/>
        </w:rPr>
        <w:t>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0F53A9" w:rsidRDefault="00917657" w:rsidP="00C466E0">
      <w:pPr>
        <w:spacing w:before="120" w:after="120"/>
      </w:pPr>
      <w:r w:rsidRPr="00917657">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6F5412BC" w:rsidR="00541A28" w:rsidRDefault="006A57A5" w:rsidP="00D6232E">
      <w:pPr>
        <w:spacing w:before="120" w:after="120"/>
        <w:ind w:firstLine="720"/>
      </w:pPr>
      <w:r>
        <w:t xml:space="preserve">It took the algorithm within 3 to 10 iterations to converge during the low noise phase of Eq. (20). The program then ran for an additional 50 iterations using a decreasing RM </w:t>
      </w:r>
      <w:r w:rsidRPr="000F53A9">
        <w:t xml:space="preserve">learning rate </w:t>
      </w:r>
      <w:r w:rsidRPr="00B35F2B">
        <w:t>multiplicative decay factor</w:t>
      </w:r>
      <w:r>
        <w:t>,</w:t>
      </w:r>
      <w:r>
        <w:t xml:space="preserve"> </w:t>
      </w:r>
      <w:r>
        <w:t>(</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for asymptotic convergence in the high noise phase </w:t>
      </w:r>
      <w:sdt>
        <w:sdtPr>
          <w:id w:val="-1046206489"/>
          <w:citation/>
        </w:sdtPr>
        <w:sdtContent>
          <w:r>
            <w:fldChar w:fldCharType="begin"/>
          </w:r>
          <w:r>
            <w:instrText xml:space="preserve"> CITATION Rob51 \l 1033 </w:instrText>
          </w:r>
          <w:r>
            <w:fldChar w:fldCharType="separate"/>
          </w:r>
          <w:r>
            <w:rPr>
              <w:noProof/>
            </w:rPr>
            <w:t>[42]</w:t>
          </w:r>
          <w:r>
            <w:fldChar w:fldCharType="end"/>
          </w:r>
        </w:sdtContent>
      </w:sdt>
      <w:r>
        <w:t xml:space="preserve">. </w:t>
      </w:r>
      <w:r w:rsidR="00F44A7D" w:rsidRPr="000F53A9">
        <w:t xml:space="preserve">After finding the </w:t>
      </w:r>
      <m:oMath>
        <m:r>
          <w:rPr>
            <w:rFonts w:ascii="Cambria Math" w:hAnsi="Cambria Math"/>
          </w:rPr>
          <m:t>α</m:t>
        </m:r>
      </m:oMath>
      <w:r w:rsidR="00F44A7D"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xml:space="preserve">), is represented by a purple dot in Figure 4, while the theoretical </w:t>
      </w:r>
      <w:r w:rsidR="00EB3CBD">
        <w:lastRenderedPageBreak/>
        <w:t>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00F44A7D" w:rsidRPr="000F53A9">
        <w:t xml:space="preserve">he </w:t>
      </w:r>
      <w:r w:rsidR="002E7DE2">
        <w:t>mean absolute percent error</w:t>
      </w:r>
      <w:r w:rsidR="00F44A7D" w:rsidRPr="000F53A9">
        <w:t xml:space="preserve"> </w:t>
      </w:r>
      <w:r w:rsidR="002E7DE2">
        <w:t xml:space="preserve">across all demes </w:t>
      </w:r>
      <w:r w:rsidR="00316A97">
        <w:t>for</w:t>
      </w:r>
      <w:r w:rsidR="00F44A7D" w:rsidRPr="000F53A9">
        <w:t xml:space="preserve"> the fitted velocity distribution</w:t>
      </w:r>
      <w:r w:rsidR="00316A97">
        <w:t xml:space="preserve"> mean</w:t>
      </w:r>
      <w:r w:rsidR="00F44A7D"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lastRenderedPageBreak/>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lastRenderedPageBreak/>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xml:space="preserve">. Both EAs and D-DEME can be </w:t>
      </w:r>
      <w:r w:rsidR="00E73D34" w:rsidRPr="000F53A9">
        <w:lastRenderedPageBreak/>
        <w:t>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w:t>
      </w:r>
      <w:r w:rsidRPr="00F54314">
        <w:rPr>
          <w:highlight w:val="red"/>
        </w:rPr>
        <w:lastRenderedPageBreak/>
        <w:t xml:space="preserve">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with reliable 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w:t>
      </w:r>
      <w:proofErr w:type="gramStart"/>
      <w:r w:rsidRPr="000F53A9">
        <w:rPr>
          <w:color w:val="000000"/>
        </w:rPr>
        <w:t>proceedings</w:t>
      </w:r>
      <w:proofErr w:type="gramEnd"/>
      <w:r w:rsidRPr="000F53A9">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0F53A9">
        <w:rPr>
          <w:color w:val="000000"/>
        </w:rPr>
        <w:t>proceedings</w:t>
      </w:r>
      <w:proofErr w:type="gramEnd"/>
      <w:r w:rsidRPr="000F53A9">
        <w:rPr>
          <w:color w:val="000000"/>
        </w:rPr>
        <w:t xml:space="preserve">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DEB382B-FF49-423E-A0C9-65A7522F392F}"/>
    <w:embedItalic r:id="rId2" w:fontKey="{5932BD7C-08F6-46A3-BFFD-48A104F1F21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208C7A5-5D50-46DA-8A14-429BD9552FCA}"/>
  </w:font>
  <w:font w:name="Georgia">
    <w:panose1 w:val="02040502050405020303"/>
    <w:charset w:val="00"/>
    <w:family w:val="roman"/>
    <w:pitch w:val="variable"/>
    <w:sig w:usb0="00000287" w:usb1="00000000" w:usb2="00000000" w:usb3="00000000" w:csb0="0000009F" w:csb1="00000000"/>
    <w:embedRegular r:id="rId4" w:fontKey="{34CECA26-339A-4C32-9533-12DB884ABEC6}"/>
    <w:embedItalic r:id="rId5" w:fontKey="{41E13AB1-3EB9-41AA-AD31-B7A96C6700AE}"/>
  </w:font>
  <w:font w:name="Cambria Math">
    <w:panose1 w:val="02040503050406030204"/>
    <w:charset w:val="00"/>
    <w:family w:val="roman"/>
    <w:pitch w:val="variable"/>
    <w:sig w:usb0="E00006FF" w:usb1="420024FF" w:usb2="02000000" w:usb3="00000000" w:csb0="0000019F" w:csb1="00000000"/>
    <w:embedRegular r:id="rId6" w:fontKey="{2F1828B6-FEF0-4B1C-A77F-3441BCD8E07B}"/>
    <w:embedItalic r:id="rId7" w:fontKey="{35E583E5-93EA-4BFD-9A38-B626A466CCB8}"/>
    <w:embedBoldItalic r:id="rId8" w:fontKey="{99D1E85D-B957-4A6A-8A2B-C0AB2F82A1E1}"/>
  </w:font>
  <w:font w:name="Cambria">
    <w:panose1 w:val="02040503050406030204"/>
    <w:charset w:val="00"/>
    <w:family w:val="roman"/>
    <w:pitch w:val="variable"/>
    <w:sig w:usb0="E00006FF" w:usb1="420024FF" w:usb2="02000000" w:usb3="00000000" w:csb0="0000019F" w:csb1="00000000"/>
    <w:embedRegular r:id="rId9" w:fontKey="{11A765A7-6BDE-4A47-A3DC-C3DE105B676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28</Pages>
  <Words>11314</Words>
  <Characters>64490</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61</cp:revision>
  <dcterms:created xsi:type="dcterms:W3CDTF">2026-07-28T02:11:00Z</dcterms:created>
  <dcterms:modified xsi:type="dcterms:W3CDTF">2026-08-01T17:40:00Z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