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3481224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6B6289" w:rsidRPr="006B6289">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009C8B47"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6B6289" w:rsidRPr="006B6289">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B6289">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6B6289" w:rsidRPr="006B6289">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6B6289" w:rsidRPr="006B6289">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EB2400F"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B6289">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48F4AA98"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B6289" w:rsidRPr="006B6289">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3E60DD61"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B6289" w:rsidRPr="006B6289">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56848248"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6B6289" w:rsidRPr="006B6289">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6B6289" w:rsidRPr="006B6289">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6B6289" w:rsidRPr="006B6289">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6AC05B6"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B6289" w:rsidRPr="006B6289">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B6289" w:rsidRPr="006B6289">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B6289" w:rsidRPr="006B6289">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066E4057"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6B6289">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6B6289">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35DC544C"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6B6289" w:rsidRPr="006B6289">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6B6289" w:rsidRPr="006B6289">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03D838E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eastAsiaTheme="minorEastAsia" w:hAnsi="Cambria Math"/>
            <w:highlight w:val="yellow"/>
          </w:rPr>
          <m:t>≈</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6B6289">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7358BFB"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2839DF3A" w:rsidR="00E82136" w:rsidRPr="00462A8D" w:rsidRDefault="00E82136" w:rsidP="00E82136">
      <w:pPr>
        <w:pStyle w:val="BodyText"/>
        <w:rPr>
          <w:rFonts w:eastAsiaTheme="minorEastAsia"/>
          <w:highlight w:val="red"/>
        </w:rPr>
      </w:pPr>
      <w:r w:rsidRPr="00462A8D">
        <w:rPr>
          <w:highlight w:val="red"/>
        </w:rPr>
        <w:t xml:space="preserve">Mention “entropic resistance” when discussing the variance awareness of the learning rate gradient, whereby </w:t>
      </w:r>
      <m:oMath>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ds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restoring force to move the system towards low noise conditions when the equation plateaus (</w:t>
      </w:r>
      <m:oMath>
        <m:f>
          <m:fPr>
            <m:ctrlPr>
              <w:rPr>
                <w:rFonts w:ascii="Cambria Math" w:eastAsiaTheme="minorEastAsia" w:hAnsi="Cambria Math"/>
                <w:i/>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num>
          <m:den>
            <m:r>
              <w:rPr>
                <w:rFonts w:ascii="Cambria Math" w:eastAsiaTheme="minorEastAsia" w:hAnsi="Cambria Math"/>
                <w:highlight w:val="red"/>
              </w:rPr>
              <m:t>dα</m:t>
            </m:r>
          </m:den>
        </m:f>
        <m:r>
          <w:rPr>
            <w:rFonts w:ascii="Cambria Math" w:eastAsiaTheme="minorEastAsia" w:hAnsi="Cambria Math"/>
            <w:highlight w:val="red"/>
          </w:rPr>
          <m:t xml:space="preserve">=0 → </m:t>
        </m:r>
        <m:f>
          <m:fPr>
            <m:ctrlPr>
              <w:rPr>
                <w:rFonts w:ascii="Cambria Math" w:eastAsiaTheme="minorEastAsia" w:hAnsi="Cambria Math"/>
                <w:i/>
                <w:highlight w:val="red"/>
              </w:rPr>
            </m:ctrlPr>
          </m:fPr>
          <m:num>
            <m:r>
              <w:rPr>
                <w:rFonts w:ascii="Cambria Math" w:eastAsiaTheme="minorEastAsia" w:hAnsi="Cambria Math"/>
                <w:highlight w:val="red"/>
              </w:rPr>
              <m:t>dL</m:t>
            </m:r>
          </m:num>
          <m:den>
            <m:r>
              <w:rPr>
                <w:rFonts w:ascii="Cambria Math" w:eastAsiaTheme="minorEastAsia" w:hAnsi="Cambria Math"/>
                <w:highlight w:val="red"/>
              </w:rPr>
              <m:t>dα</m:t>
            </m:r>
          </m:den>
        </m:f>
        <m:r>
          <w:rPr>
            <w:rFonts w:ascii="Cambria Math" w:eastAsiaTheme="minorEastAsia" w:hAnsi="Cambria Math"/>
            <w:highlight w:val="red"/>
          </w:rPr>
          <m:t>=λ</m:t>
        </m:r>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If </w:t>
      </w:r>
      <m:oMath>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is located at the plateau, this can be analogous to moving the thermodynamic free energy of a system towards an isothermal stable edge whereby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(i.e. the internal energy), and </w:t>
      </w:r>
      <m:oMath>
        <m:f>
          <m:fPr>
            <m:ctrlPr>
              <w:rPr>
                <w:rFonts w:ascii="Cambria Math" w:hAnsi="Cambria Math"/>
                <w:highlight w:val="red"/>
              </w:rPr>
            </m:ctrlPr>
          </m:fPr>
          <m:num>
            <m:r>
              <w:rPr>
                <w:rFonts w:ascii="Cambria Math" w:hAnsi="Cambria Math"/>
                <w:highlight w:val="red"/>
              </w:rPr>
              <m:t>d</m:t>
            </m:r>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heat flow indicator to move the system towards the most stable equilibrium (i.e. minimize entropy).</w:t>
      </w:r>
    </w:p>
    <w:p w14:paraId="6DCFA827" w14:textId="0D03ED7B" w:rsidR="00E82136" w:rsidRPr="00462A8D" w:rsidRDefault="00000000" w:rsidP="00E82136">
      <w:pPr>
        <w:pStyle w:val="BodyText"/>
        <w:rPr>
          <w:rFonts w:eastAsiaTheme="minorEastAsia"/>
          <w:highlight w:val="red"/>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m:rPr>
                  <m:sty m:val="p"/>
                </m:rP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dL</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groupChr>
                <m:groupChrPr>
                  <m:ctrlPr>
                    <w:rPr>
                      <w:rFonts w:ascii="Cambria Math" w:eastAsiaTheme="minorEastAsia" w:hAnsi="Cambria Math"/>
                      <w:highlight w:val="red"/>
                    </w:rPr>
                  </m:ctrlPr>
                </m:groupChrPr>
                <m:e>
                  <m:r>
                    <w:rPr>
                      <w:rFonts w:ascii="Cambria Math" w:eastAsiaTheme="minorEastAsia" w:hAnsi="Cambria Math"/>
                      <w:highlight w:val="red"/>
                    </w:rPr>
                    <m:t>2</m:t>
                  </m:r>
                  <m:d>
                    <m:dPr>
                      <m:ctrlPr>
                        <w:rPr>
                          <w:rFonts w:ascii="Cambria Math" w:eastAsiaTheme="minorEastAsia"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e>
                  </m:d>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groupChr>
                <m:groupChrPr>
                  <m:ctrlPr>
                    <w:rPr>
                      <w:rFonts w:ascii="Cambria Math" w:eastAsiaTheme="minorEastAsia" w:hAnsi="Cambria Math"/>
                      <w:highlight w:val="red"/>
                    </w:rPr>
                  </m:ctrlPr>
                </m:groupChrPr>
                <m:e>
                  <m:r>
                    <w:rPr>
                      <w:rFonts w:ascii="Cambria Math" w:eastAsiaTheme="minorEastAsia" w:hAnsi="Cambria Math"/>
                      <w:highlight w:val="red"/>
                    </w:rPr>
                    <m:t xml:space="preserve">          -λ</m:t>
                  </m:r>
                  <m:f>
                    <m:fPr>
                      <m:ctrlPr>
                        <w:rPr>
                          <w:rFonts w:ascii="Cambria Math" w:eastAsiaTheme="minorEastAsia" w:hAnsi="Cambria Math"/>
                          <w:highlight w:val="red"/>
                        </w:rPr>
                      </m:ctrlPr>
                    </m:fPr>
                    <m:num>
                      <m:r>
                        <w:rPr>
                          <w:rFonts w:ascii="Cambria Math" w:eastAsiaTheme="minorEastAsia" w:hAnsi="Cambria Math"/>
                          <w:highlight w:val="red"/>
                        </w:rPr>
                        <m:t>d</m:t>
                      </m:r>
                      <m:sSup>
                        <m:sSupPr>
                          <m:ctrlPr>
                            <w:rPr>
                              <w:rFonts w:ascii="Cambria Math" w:eastAsiaTheme="minorEastAsia" w:hAnsi="Cambria Math"/>
                              <w:i/>
                              <w:highlight w:val="red"/>
                            </w:rPr>
                          </m:ctrlPr>
                        </m:sSupPr>
                        <m:e>
                          <m:r>
                            <w:rPr>
                              <w:rFonts w:ascii="Cambria Math" w:eastAsiaTheme="minorEastAsia" w:hAnsi="Cambria Math"/>
                              <w:highlight w:val="red"/>
                            </w:rPr>
                            <m:t>s</m:t>
                          </m:r>
                        </m:e>
                        <m:sup>
                          <m:r>
                            <w:rPr>
                              <w:rFonts w:ascii="Cambria Math" w:eastAsiaTheme="minorEastAsia" w:hAnsi="Cambria Math"/>
                              <w:highlight w:val="red"/>
                            </w:rPr>
                            <m:t>2</m:t>
                          </m:r>
                        </m:sup>
                      </m:sSup>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e>
          </m:borderBox>
        </m:oMath>
      </m:oMathPara>
    </w:p>
    <w:p w14:paraId="5272E4F1" w14:textId="77777777" w:rsidR="00E82136" w:rsidRPr="00462A8D" w:rsidRDefault="00E82136" w:rsidP="00E82136">
      <w:pPr>
        <w:pStyle w:val="BodyText"/>
        <w:jc w:val="center"/>
        <w:rPr>
          <w:rFonts w:eastAsiaTheme="minorEastAsia"/>
          <w:highlight w:val="red"/>
        </w:rPr>
      </w:pPr>
      <m:oMath>
        <m:r>
          <m:rPr>
            <m:nor/>
          </m:rPr>
          <w:rPr>
            <w:rFonts w:ascii="Cambria Math" w:eastAsiaTheme="minorEastAsia" w:hAnsi="Cambria Math"/>
            <w:highlight w:val="red"/>
          </w:rPr>
          <w:lastRenderedPageBreak/>
          <m:t>(internal energy)</m:t>
        </m:r>
      </m:oMath>
      <w:r w:rsidRPr="00462A8D">
        <w:rPr>
          <w:rFonts w:eastAsiaTheme="minorEastAsia"/>
          <w:highlight w:val="red"/>
        </w:rPr>
        <w:t xml:space="preserve">         </w:t>
      </w:r>
      <m:oMath>
        <m:r>
          <m:rPr>
            <m:nor/>
          </m:rPr>
          <w:rPr>
            <w:rFonts w:ascii="Cambria Math" w:eastAsiaTheme="minorEastAsia" w:hAnsi="Cambria Math"/>
            <w:highlight w:val="red"/>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dU</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 xml:space="preserve">                              -</m:t>
              </m:r>
              <m:sSub>
                <m:sSubPr>
                  <m:ctrlPr>
                    <w:rPr>
                      <w:rFonts w:ascii="Cambria Math" w:eastAsiaTheme="minorEastAsia" w:hAnsi="Cambria Math"/>
                      <w:i/>
                      <w:highlight w:val="red"/>
                    </w:rPr>
                  </m:ctrlPr>
                </m:sSubPr>
                <m:e>
                  <m:r>
                    <w:rPr>
                      <w:rFonts w:ascii="Cambria Math" w:eastAsiaTheme="minorEastAsia" w:hAnsi="Cambria Math"/>
                      <w:highlight w:val="red"/>
                    </w:rPr>
                    <m:t>T</m:t>
                  </m:r>
                </m:e>
                <m:sub>
                  <m:r>
                    <m:rPr>
                      <m:nor/>
                    </m:rPr>
                    <w:rPr>
                      <w:rFonts w:ascii="Cambria Math" w:eastAsiaTheme="minorEastAsia" w:hAnsi="Cambria Math"/>
                      <w:highlight w:val="red"/>
                    </w:rPr>
                    <m:t>eff</m:t>
                  </m:r>
                </m:sub>
              </m:sSub>
              <m:f>
                <m:fPr>
                  <m:ctrlPr>
                    <w:rPr>
                      <w:rFonts w:ascii="Cambria Math" w:eastAsiaTheme="minorEastAsia" w:hAnsi="Cambria Math"/>
                      <w:highlight w:val="red"/>
                    </w:rPr>
                  </m:ctrlPr>
                </m:fPr>
                <m:num>
                  <m:r>
                    <w:rPr>
                      <w:rFonts w:ascii="Cambria Math" w:eastAsiaTheme="minorEastAsia" w:hAnsi="Cambria Math"/>
                      <w:highlight w:val="red"/>
                    </w:rPr>
                    <m:t>d</m:t>
                  </m:r>
                  <m:sSub>
                    <m:sSubPr>
                      <m:ctrlPr>
                        <w:rPr>
                          <w:rFonts w:ascii="Cambria Math" w:eastAsiaTheme="minorEastAsia" w:hAnsi="Cambria Math"/>
                          <w:i/>
                          <w:highlight w:val="red"/>
                        </w:rPr>
                      </m:ctrlPr>
                    </m:sSubPr>
                    <m:e>
                      <m:r>
                        <w:rPr>
                          <w:rFonts w:ascii="Cambria Math" w:eastAsiaTheme="minorEastAsia" w:hAnsi="Cambria Math"/>
                          <w:highlight w:val="red"/>
                        </w:rPr>
                        <m:t>S</m:t>
                      </m:r>
                    </m:e>
                    <m:sub>
                      <m:r>
                        <m:rPr>
                          <m:nor/>
                        </m:rPr>
                        <w:rPr>
                          <w:rFonts w:ascii="Cambria Math" w:eastAsiaTheme="minorEastAsia" w:hAnsi="Cambria Math"/>
                          <w:highlight w:val="red"/>
                        </w:rPr>
                        <m:t>entropy</m:t>
                      </m:r>
                    </m:sub>
                  </m:sSub>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3B737F34" w14:textId="0C8FC809" w:rsidR="009E06FA" w:rsidRPr="00566CF2" w:rsidRDefault="00BC0548" w:rsidP="00566CF2">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bookmarkEnd w:id="30"/>
    </w:p>
    <w:p w14:paraId="240134AC" w14:textId="7F27ABF5"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6B6289">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6B6289">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3"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3"/>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3D4A6132"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feedback filter that rescales how </w:t>
      </w:r>
      <w:r w:rsidR="000507E0">
        <w:t>sensitive</w:t>
      </w:r>
      <w:r w:rsidR="000507E0" w:rsidRPr="000507E0">
        <w:t xml:space="preserve"> that correction is felt by the bacterial system to avoid overreaction</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automatically gets smaller when methylation falls behind and receptors saturate so cells can’t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 nonlinear amplitude filter to control the magnitude of the signal based on receptor occupancy</w:t>
      </w:r>
      <w:r w:rsidR="00E344B2">
        <w:t xml:space="preserve">. </w:t>
      </w:r>
      <w:r w:rsidR="00E344B2" w:rsidRPr="000507E0">
        <w:t xml:space="preserve">Fitting the alpha constants help provide </w:t>
      </w:r>
      <w:r w:rsidR="00E344B2" w:rsidRPr="000507E0">
        <w:lastRenderedPageBreak/>
        <w:t xml:space="preserve">accurate tumble times to replicate the theoretical drift velocity per deme through a stochastic process that depends on the gradient and not the methylation. 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6A540E" w:rsidRPr="006A540E">
        <w:t>th</w:t>
      </w:r>
      <w:r w:rsidR="006B6289">
        <w:t xml:space="preserve">is placeholder </w:t>
      </w:r>
      <w:r w:rsidR="006A540E" w:rsidRPr="006A540E">
        <w:t>model</w:t>
      </w:r>
      <w:r w:rsidR="006A540E">
        <w:t xml:space="preserve"> </w:t>
      </w:r>
      <w:r w:rsidR="006A540E" w:rsidRPr="006A540E">
        <w:t>detect</w:t>
      </w:r>
      <w:r w:rsidR="006A540E">
        <w:t>s</w:t>
      </w:r>
      <w:r w:rsidR="006A540E" w:rsidRPr="006A540E">
        <w:t xml:space="preserve"> relative changes in concentration and scale</w:t>
      </w:r>
      <w:r w:rsidR="00A419ED">
        <w:t>s</w:t>
      </w:r>
      <w:r w:rsidR="006A540E" w:rsidRPr="006A540E">
        <w:t xml:space="preserve"> the sensitivity </w:t>
      </w:r>
      <w:r w:rsidR="00A419ED">
        <w:t xml:space="preserve">to </w:t>
      </w:r>
      <w:r w:rsidR="006A540E" w:rsidRPr="006A540E">
        <w:t>prevent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4" w:name="_heading=h.44sinio" w:colFirst="0" w:colLast="0"/>
      <w:bookmarkEnd w:id="34"/>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AFD225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lastRenderedPageBreak/>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w:t>
      </w:r>
      <w:r>
        <w:lastRenderedPageBreak/>
        <w:t xml:space="preserve">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lastRenderedPageBreak/>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44D252-CC69-4B6A-9647-8629D2A3A95D}"/>
    <w:embedItalic r:id="rId2" w:fontKey="{92317298-4564-4F62-B8C7-3B4EF6AE5AD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8E47FA9-71DB-4C31-81EC-165D6BA7EDD2}"/>
  </w:font>
  <w:font w:name="Georgia">
    <w:panose1 w:val="02040502050405020303"/>
    <w:charset w:val="00"/>
    <w:family w:val="roman"/>
    <w:pitch w:val="variable"/>
    <w:sig w:usb0="00000287" w:usb1="00000000" w:usb2="00000000" w:usb3="00000000" w:csb0="0000009F" w:csb1="00000000"/>
    <w:embedRegular r:id="rId4" w:fontKey="{364B007A-968C-45CE-AB5D-DA3B2BF4A105}"/>
    <w:embedItalic r:id="rId5" w:fontKey="{9FC63858-1FD5-45DE-8761-B00416FAB87E}"/>
  </w:font>
  <w:font w:name="Cambria Math">
    <w:panose1 w:val="02040503050406030204"/>
    <w:charset w:val="00"/>
    <w:family w:val="roman"/>
    <w:pitch w:val="variable"/>
    <w:sig w:usb0="E00006FF" w:usb1="420024FF" w:usb2="02000000" w:usb3="00000000" w:csb0="0000019F" w:csb1="00000000"/>
    <w:embedRegular r:id="rId6" w:fontKey="{3A610F6B-F160-4A0F-8D70-EACD27109665}"/>
    <w:embedItalic r:id="rId7" w:fontKey="{025373D6-8DE5-4878-99D6-4609013A0DCB}"/>
    <w:embedBoldItalic r:id="rId8" w:fontKey="{465B1CE7-DB43-40FB-BDEF-02B66CBBE9B1}"/>
  </w:font>
  <w:font w:name="Cambria">
    <w:panose1 w:val="02040503050406030204"/>
    <w:charset w:val="00"/>
    <w:family w:val="roman"/>
    <w:pitch w:val="variable"/>
    <w:sig w:usb0="E00006FF" w:usb1="420024FF" w:usb2="02000000" w:usb3="00000000" w:csb0="0000019F" w:csb1="00000000"/>
    <w:embedRegular r:id="rId9" w:fontKey="{4C9E5609-FA76-4378-8D22-C4C7D15FC36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56C7"/>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1686</TotalTime>
  <Pages>28</Pages>
  <Words>12074</Words>
  <Characters>68823</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155</cp:revision>
  <dcterms:created xsi:type="dcterms:W3CDTF">2025-11-30T15:48:00Z</dcterms:created>
  <dcterms:modified xsi:type="dcterms:W3CDTF">2026-02-01T17:01:00Z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