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163A89" w:rsidRDefault="00797035" w:rsidP="00B73499">
      <w:pPr>
        <w:pBdr>
          <w:top w:val="nil"/>
          <w:left w:val="nil"/>
          <w:bottom w:val="nil"/>
          <w:right w:val="nil"/>
          <w:between w:val="nil"/>
        </w:pBdr>
        <w:ind w:firstLine="284"/>
        <w:jc w:val="both"/>
        <w:rPr>
          <w:color w:val="000000"/>
          <w:highlight w:val="yellow"/>
        </w:rPr>
      </w:pPr>
      <w:r w:rsidRPr="00163A89">
        <w:rPr>
          <w:color w:val="000000"/>
          <w:highlight w:val="yellow"/>
        </w:rPr>
        <w:t xml:space="preserve">It is well established that </w:t>
      </w:r>
      <w:r w:rsidR="00297129" w:rsidRPr="00163A89">
        <w:rPr>
          <w:color w:val="000000"/>
          <w:highlight w:val="yellow"/>
        </w:rPr>
        <w:t xml:space="preserve">E. Coli utilize their flagella to propel themselves using a run-and-tumble </w:t>
      </w:r>
      <w:r w:rsidR="00E940E5" w:rsidRPr="00163A89">
        <w:rPr>
          <w:color w:val="000000"/>
          <w:highlight w:val="yellow"/>
        </w:rPr>
        <w:t xml:space="preserve">mechanism </w:t>
      </w:r>
      <w:sdt>
        <w:sdtPr>
          <w:rPr>
            <w:color w:val="000000"/>
            <w:highlight w:val="yellow"/>
          </w:rPr>
          <w:id w:val="62078942"/>
          <w:citation/>
        </w:sdtPr>
        <w:sdtContent>
          <w:r w:rsidR="00E940E5" w:rsidRPr="00163A89">
            <w:rPr>
              <w:color w:val="000000"/>
              <w:highlight w:val="yellow"/>
            </w:rPr>
            <w:fldChar w:fldCharType="begin"/>
          </w:r>
          <w:r w:rsidR="00E940E5" w:rsidRPr="00163A89">
            <w:rPr>
              <w:color w:val="000000"/>
              <w:highlight w:val="yellow"/>
            </w:rPr>
            <w:instrText xml:space="preserve"> CITATION Mic17 \l 1033  \m Sou12 \m Tat13</w:instrText>
          </w:r>
          <w:r w:rsidR="00E940E5" w:rsidRPr="00163A89">
            <w:rPr>
              <w:color w:val="000000"/>
              <w:highlight w:val="yellow"/>
            </w:rPr>
            <w:fldChar w:fldCharType="separate"/>
          </w:r>
          <w:r w:rsidR="005358A6" w:rsidRPr="00163A89">
            <w:rPr>
              <w:noProof/>
              <w:color w:val="000000"/>
              <w:highlight w:val="yellow"/>
            </w:rPr>
            <w:t>[2, 8, 9]</w:t>
          </w:r>
          <w:r w:rsidR="00E940E5" w:rsidRPr="00163A89">
            <w:rPr>
              <w:color w:val="000000"/>
              <w:highlight w:val="yellow"/>
            </w:rPr>
            <w:fldChar w:fldCharType="end"/>
          </w:r>
        </w:sdtContent>
      </w:sdt>
      <w:r w:rsidR="00E940E5" w:rsidRPr="00163A89">
        <w:rPr>
          <w:color w:val="000000"/>
          <w:highlight w:val="yellow"/>
        </w:rPr>
        <w:t xml:space="preserve">. </w:t>
      </w:r>
      <w:r w:rsidR="00297129" w:rsidRPr="00163A89">
        <w:rPr>
          <w:color w:val="000000"/>
          <w:highlight w:val="yellow"/>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highlight w:val="yellow"/>
          </w:rPr>
          <m:t>~10s</m:t>
        </m:r>
      </m:oMath>
      <w:r w:rsidR="00297129" w:rsidRPr="00163A89">
        <w:rPr>
          <w:color w:val="000000"/>
          <w:highlight w:val="yellow"/>
        </w:rPr>
        <w:t xml:space="preserve">, until its flagellar motor switched to a clockwise (CW) rotation, causing the E. Coli to tumble for </w:t>
      </w:r>
      <m:oMath>
        <m:r>
          <w:rPr>
            <w:rFonts w:ascii="Cambria Math" w:eastAsia="Cambria Math" w:hAnsi="Cambria Math"/>
            <w:color w:val="000000"/>
            <w:highlight w:val="yellow"/>
          </w:rPr>
          <m:t>~0.1s</m:t>
        </m:r>
      </m:oMath>
      <w:r w:rsidR="00297129" w:rsidRPr="00163A89">
        <w:rPr>
          <w:color w:val="000000"/>
          <w:highlight w:val="yellow"/>
        </w:rPr>
        <w:t>, and reorient itself by rotational diffusion. After which the flagellar motor switches back to a CCW rotation, and it moves off in a new direction</w:t>
      </w:r>
      <w:r w:rsidR="00072635" w:rsidRPr="00163A89">
        <w:rPr>
          <w:color w:val="000000"/>
          <w:highlight w:val="yellow"/>
        </w:rPr>
        <w:t xml:space="preserve"> </w:t>
      </w:r>
      <w:sdt>
        <w:sdtPr>
          <w:rPr>
            <w:color w:val="000000"/>
            <w:highlight w:val="yellow"/>
          </w:rPr>
          <w:id w:val="755258203"/>
          <w:citation/>
        </w:sdtPr>
        <w:sdtContent>
          <w:r w:rsidR="00072635" w:rsidRPr="00163A89">
            <w:rPr>
              <w:color w:val="000000"/>
              <w:highlight w:val="yellow"/>
            </w:rPr>
            <w:fldChar w:fldCharType="begin"/>
          </w:r>
          <w:r w:rsidR="00072635" w:rsidRPr="00163A89">
            <w:rPr>
              <w:color w:val="000000"/>
              <w:highlight w:val="yellow"/>
            </w:rPr>
            <w:instrText xml:space="preserve"> CITATION Mic17 \l 1033  \m Sou12 \m Tat13</w:instrText>
          </w:r>
          <w:r w:rsidR="00072635" w:rsidRPr="00163A89">
            <w:rPr>
              <w:color w:val="000000"/>
              <w:highlight w:val="yellow"/>
            </w:rPr>
            <w:fldChar w:fldCharType="separate"/>
          </w:r>
          <w:r w:rsidR="005358A6" w:rsidRPr="00163A89">
            <w:rPr>
              <w:noProof/>
              <w:color w:val="000000"/>
              <w:highlight w:val="yellow"/>
            </w:rPr>
            <w:t>[2, 8, 9]</w:t>
          </w:r>
          <w:r w:rsidR="00072635" w:rsidRPr="00163A89">
            <w:rPr>
              <w:color w:val="000000"/>
              <w:highlight w:val="yellow"/>
            </w:rPr>
            <w:fldChar w:fldCharType="end"/>
          </w:r>
        </w:sdtContent>
      </w:sdt>
      <w:r w:rsidR="00297129" w:rsidRPr="00163A89">
        <w:rPr>
          <w:color w:val="000000"/>
          <w:highlight w:val="yellow"/>
        </w:rPr>
        <w:t>. In effect, the E. Coli is a perfect random walker. It is well established that the E. Coli’s flagellar motor is controlled by multi-protein receptor complexes that sense changes in the concentration of ligands associated with nutrients</w:t>
      </w:r>
      <w:r w:rsidR="00072635" w:rsidRPr="00163A89">
        <w:rPr>
          <w:color w:val="000000"/>
          <w:highlight w:val="yellow"/>
        </w:rPr>
        <w:t xml:space="preserve"> </w:t>
      </w:r>
      <w:sdt>
        <w:sdtPr>
          <w:rPr>
            <w:color w:val="000000"/>
            <w:highlight w:val="yellow"/>
          </w:rPr>
          <w:id w:val="-1752492645"/>
          <w:citation/>
        </w:sdtPr>
        <w:sdtContent>
          <w:r w:rsidR="00072635" w:rsidRPr="00163A89">
            <w:rPr>
              <w:color w:val="000000"/>
              <w:highlight w:val="yellow"/>
            </w:rPr>
            <w:fldChar w:fldCharType="begin"/>
          </w:r>
          <w:r w:rsidR="00072635" w:rsidRPr="00163A89">
            <w:rPr>
              <w:color w:val="000000"/>
              <w:highlight w:val="yellow"/>
            </w:rPr>
            <w:instrText xml:space="preserve"> CITATION Sou12 \l 1033 </w:instrText>
          </w:r>
          <w:r w:rsidR="00072635" w:rsidRPr="00163A89">
            <w:rPr>
              <w:color w:val="000000"/>
              <w:highlight w:val="yellow"/>
            </w:rPr>
            <w:fldChar w:fldCharType="separate"/>
          </w:r>
          <w:r w:rsidR="005358A6" w:rsidRPr="00163A89">
            <w:rPr>
              <w:noProof/>
              <w:color w:val="000000"/>
              <w:highlight w:val="yellow"/>
            </w:rPr>
            <w:t>[8]</w:t>
          </w:r>
          <w:r w:rsidR="00072635" w:rsidRPr="00163A89">
            <w:rPr>
              <w:color w:val="000000"/>
              <w:highlight w:val="yellow"/>
            </w:rPr>
            <w:fldChar w:fldCharType="end"/>
          </w:r>
        </w:sdtContent>
      </w:sdt>
      <w:r w:rsidR="00297129" w:rsidRPr="00163A89">
        <w:rPr>
          <w:color w:val="000000"/>
          <w:highlight w:val="yellow"/>
        </w:rPr>
        <w:t xml:space="preserve">. The receptors are either inactive (methylated) or active (demethylated), with the overall methylation level, </w:t>
      </w:r>
      <m:oMath>
        <m:r>
          <w:rPr>
            <w:rFonts w:ascii="Cambria Math" w:eastAsia="Cambria Math" w:hAnsi="Cambria Math"/>
            <w:color w:val="000000"/>
            <w:highlight w:val="yellow"/>
          </w:rPr>
          <m:t>m</m:t>
        </m:r>
      </m:oMath>
      <w:r w:rsidR="00297129" w:rsidRPr="00163A89">
        <w:rPr>
          <w:color w:val="000000"/>
          <w:highlight w:val="yellow"/>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the receptor free energy, </w:t>
      </w:r>
      <m:oMath>
        <m:r>
          <w:rPr>
            <w:rFonts w:ascii="Cambria Math" w:eastAsia="Cambria Math" w:hAnsi="Cambria Math"/>
            <w:color w:val="000000"/>
            <w:highlight w:val="yellow"/>
          </w:rPr>
          <m:t>F</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and the methylation dynamic equation, </w:t>
      </w:r>
      <m:oMath>
        <m:f>
          <m:fPr>
            <m:ctrlPr>
              <w:rPr>
                <w:rFonts w:ascii="Cambria Math" w:eastAsia="Cambria Math" w:hAnsi="Cambria Math"/>
                <w:color w:val="000000"/>
                <w:highlight w:val="yellow"/>
              </w:rPr>
            </m:ctrlPr>
          </m:fPr>
          <m:num>
            <m:r>
              <w:rPr>
                <w:rFonts w:ascii="Cambria Math" w:eastAsia="Cambria Math" w:hAnsi="Cambria Math"/>
                <w:color w:val="000000"/>
                <w:highlight w:val="yellow"/>
              </w:rPr>
              <m:t>dm</m:t>
            </m:r>
          </m:num>
          <m:den>
            <m:r>
              <w:rPr>
                <w:rFonts w:ascii="Cambria Math" w:eastAsia="Cambria Math" w:hAnsi="Cambria Math"/>
                <w:color w:val="000000"/>
                <w:highlight w:val="yellow"/>
              </w:rPr>
              <m:t>dt</m:t>
            </m:r>
          </m:den>
        </m:f>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1-a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d>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sup>
            <m:r>
              <w:rPr>
                <w:rFonts w:ascii="Cambria Math" w:eastAsia="Cambria Math" w:hAnsi="Cambria Math"/>
                <w:color w:val="000000"/>
                <w:highlight w:val="yellow"/>
              </w:rPr>
              <m:t>3</m:t>
            </m:r>
          </m:sup>
        </m:sSup>
      </m:oMath>
      <w:r w:rsidR="00A5736A" w:rsidRPr="00163A89">
        <w:rPr>
          <w:color w:val="000000"/>
          <w:highlight w:val="yellow"/>
        </w:rPr>
        <w:t xml:space="preserve">, with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oMath>
      <w:r w:rsidR="00A5736A" w:rsidRPr="00163A89">
        <w:rPr>
          <w:color w:val="000000"/>
          <w:highlight w:val="yellow"/>
        </w:rPr>
        <w:t xml:space="preserve"> and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oMath>
      <w:r w:rsidR="00A5736A" w:rsidRPr="00163A89">
        <w:rPr>
          <w:color w:val="000000"/>
          <w:highlight w:val="yellow"/>
        </w:rPr>
        <w:t xml:space="preserve"> being methylation constants </w:t>
      </w:r>
      <w:r w:rsidR="00297129" w:rsidRPr="00163A89">
        <w:rPr>
          <w:color w:val="000000"/>
          <w:highlight w:val="yellow"/>
        </w:rPr>
        <w:t xml:space="preserve">[1]. The methylation level, </w:t>
      </w:r>
      <m:oMath>
        <m:r>
          <w:rPr>
            <w:rFonts w:ascii="Cambria Math" w:eastAsia="Cambria Math" w:hAnsi="Cambria Math"/>
            <w:color w:val="000000"/>
            <w:highlight w:val="yellow"/>
          </w:rPr>
          <m:t>m</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and the nutrient concentration,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163A89">
        <w:rPr>
          <w:color w:val="000000"/>
          <w:highlight w:val="yellow"/>
        </w:rPr>
        <w:t xml:space="preserve">When an E. Coli swims downstream (away from a nutrient),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&lt;0</m:t>
        </m:r>
      </m:oMath>
      <w:r w:rsidRPr="00163A89">
        <w:rPr>
          <w:color w:val="000000"/>
          <w:highlight w:val="yellow"/>
        </w:rPr>
        <w:t xml:space="preserve">, the methylation level, </w:t>
      </w:r>
      <m:oMath>
        <m:r>
          <w:rPr>
            <w:rFonts w:ascii="Cambria Math" w:eastAsia="Cambria Math" w:hAnsi="Cambria Math"/>
            <w:color w:val="000000"/>
            <w:highlight w:val="yellow"/>
          </w:rPr>
          <m:t>m</m:t>
        </m:r>
      </m:oMath>
      <w:r w:rsidRPr="00163A89">
        <w:rPr>
          <w:color w:val="000000"/>
          <w:highlight w:val="yellow"/>
        </w:rPr>
        <w:t xml:space="preserve">, decreases along with the overall activation, </w:t>
      </w:r>
      <m:oMath>
        <m:r>
          <w:rPr>
            <w:rFonts w:ascii="Cambria Math" w:eastAsia="Cambria Math" w:hAnsi="Cambria Math"/>
            <w:color w:val="000000"/>
            <w:highlight w:val="yellow"/>
          </w:rPr>
          <m:t>A</m:t>
        </m:r>
      </m:oMath>
      <w:r w:rsidRPr="00163A89">
        <w:rPr>
          <w:color w:val="000000"/>
          <w:highlight w:val="yellow"/>
        </w:rPr>
        <w:t xml:space="preserve">, which increases the tumbling rate,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&gt;</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0.1s</m:t>
            </m:r>
          </m:e>
          <m:sup>
            <m:r>
              <w:rPr>
                <w:rFonts w:ascii="Cambria Math" w:eastAsia="Cambria Math" w:hAnsi="Cambria Math"/>
                <w:color w:val="000000"/>
                <w:highlight w:val="yellow"/>
              </w:rPr>
              <m:t>-1</m:t>
            </m:r>
          </m:sup>
        </m:sSup>
      </m:oMath>
      <w:r w:rsidRPr="00163A89">
        <w:rPr>
          <w:color w:val="000000"/>
          <w:highlight w:val="yellow"/>
        </w:rPr>
        <w:t xml:space="preserve">. When it swims upstream,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&gt;0</m:t>
        </m:r>
      </m:oMath>
      <w:r w:rsidRPr="00163A89">
        <w:rPr>
          <w:color w:val="000000"/>
          <w:highlight w:val="yellow"/>
        </w:rPr>
        <w:t xml:space="preserve">, the tumbling rate remains at about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xml:space="preserve"> </w:t>
      </w:r>
      <w:sdt>
        <w:sdtPr>
          <w:rPr>
            <w:color w:val="000000"/>
            <w:highlight w:val="yellow"/>
          </w:rPr>
          <w:id w:val="-1995172358"/>
          <w:citation/>
        </w:sdtPr>
        <w:sdtContent>
          <w:r w:rsidR="00072635" w:rsidRPr="00163A89">
            <w:rPr>
              <w:color w:val="000000"/>
              <w:highlight w:val="yellow"/>
            </w:rPr>
            <w:fldChar w:fldCharType="begin"/>
          </w:r>
          <w:r w:rsidR="00072635" w:rsidRPr="00163A89">
            <w:rPr>
              <w:color w:val="000000"/>
              <w:highlight w:val="yellow"/>
            </w:rPr>
            <w:instrText xml:space="preserve"> CITATION Liu21 \l 1033 </w:instrText>
          </w:r>
          <w:r w:rsidR="00072635" w:rsidRPr="00163A89">
            <w:rPr>
              <w:color w:val="000000"/>
              <w:highlight w:val="yellow"/>
            </w:rPr>
            <w:fldChar w:fldCharType="separate"/>
          </w:r>
          <w:r w:rsidR="005358A6" w:rsidRPr="00163A89">
            <w:rPr>
              <w:noProof/>
              <w:color w:val="000000"/>
              <w:highlight w:val="yellow"/>
            </w:rPr>
            <w:t>[1]</w:t>
          </w:r>
          <w:r w:rsidR="00072635" w:rsidRPr="00163A89">
            <w:rPr>
              <w:color w:val="000000"/>
              <w:highlight w:val="yellow"/>
            </w:rPr>
            <w:fldChar w:fldCharType="end"/>
          </w:r>
        </w:sdtContent>
      </w:sdt>
      <w:r w:rsidRPr="00163A89">
        <w:rPr>
          <w:color w:val="000000"/>
          <w:highlight w:val="yellow"/>
        </w:rPr>
        <w:t xml:space="preserve">. Consequently, E. Coli immersed in a nutrient gradient are observed to be randomly biased to move upstream towards regions with higher food concentration, as observed in the experiments of Austin </w:t>
      </w:r>
      <w:r w:rsidRPr="00163A89">
        <w:rPr>
          <w:i/>
          <w:color w:val="000000"/>
          <w:highlight w:val="yellow"/>
        </w:rPr>
        <w:t>et al.</w:t>
      </w:r>
      <w:r w:rsidRPr="00163A89">
        <w:rPr>
          <w:color w:val="000000"/>
          <w:highlight w:val="yellow"/>
        </w:rPr>
        <w:t xml:space="preserve"> </w:t>
      </w:r>
      <w:sdt>
        <w:sdtPr>
          <w:rPr>
            <w:color w:val="000000"/>
            <w:highlight w:val="yellow"/>
          </w:rPr>
          <w:id w:val="-310336715"/>
          <w:citation/>
        </w:sdtPr>
        <w:sdtContent>
          <w:r w:rsidR="00BC2DAD" w:rsidRPr="00163A89">
            <w:rPr>
              <w:color w:val="000000"/>
              <w:highlight w:val="yellow"/>
            </w:rPr>
            <w:fldChar w:fldCharType="begin"/>
          </w:r>
          <w:r w:rsidR="00BC2DAD" w:rsidRPr="00163A89">
            <w:rPr>
              <w:color w:val="000000"/>
              <w:highlight w:val="yellow"/>
            </w:rPr>
            <w:instrText xml:space="preserve"> CITATION Zha11 \l 1033  \m Zha111</w:instrText>
          </w:r>
          <w:r w:rsidR="00BC2DAD" w:rsidRPr="00163A89">
            <w:rPr>
              <w:color w:val="000000"/>
              <w:highlight w:val="yellow"/>
            </w:rPr>
            <w:fldChar w:fldCharType="separate"/>
          </w:r>
          <w:r w:rsidR="005358A6" w:rsidRPr="00163A89">
            <w:rPr>
              <w:noProof/>
              <w:color w:val="000000"/>
              <w:highlight w:val="yellow"/>
            </w:rPr>
            <w:t>[10, 11]</w:t>
          </w:r>
          <w:r w:rsidR="00BC2DAD" w:rsidRPr="00163A89">
            <w:rPr>
              <w:color w:val="000000"/>
              <w:highlight w:val="yellow"/>
            </w:rPr>
            <w:fldChar w:fldCharType="end"/>
          </w:r>
        </w:sdtContent>
      </w:sdt>
      <w:r w:rsidRPr="00163A89">
        <w:rPr>
          <w:color w:val="000000"/>
          <w:highlight w:val="yellow"/>
        </w:rPr>
        <w:t>. Chemotaxis has been extensively studied by Brown and Berg</w:t>
      </w:r>
      <w:r w:rsidR="00BC2DAD" w:rsidRPr="00163A89">
        <w:rPr>
          <w:color w:val="000000"/>
          <w:highlight w:val="yellow"/>
        </w:rPr>
        <w:t xml:space="preserve"> </w:t>
      </w:r>
      <w:sdt>
        <w:sdtPr>
          <w:rPr>
            <w:color w:val="000000"/>
            <w:highlight w:val="yellow"/>
          </w:rPr>
          <w:id w:val="-1275550053"/>
          <w:citation/>
        </w:sdtPr>
        <w:sdtContent>
          <w:r w:rsidR="00BC2DAD" w:rsidRPr="00163A89">
            <w:rPr>
              <w:color w:val="000000"/>
              <w:highlight w:val="yellow"/>
            </w:rPr>
            <w:fldChar w:fldCharType="begin"/>
          </w:r>
          <w:r w:rsidR="00BC2DAD" w:rsidRPr="00163A89">
            <w:rPr>
              <w:color w:val="000000"/>
              <w:highlight w:val="yellow"/>
            </w:rPr>
            <w:instrText xml:space="preserve"> CITATION Bro74 \l 1033 </w:instrText>
          </w:r>
          <w:r w:rsidR="00BC2DAD" w:rsidRPr="00163A89">
            <w:rPr>
              <w:color w:val="000000"/>
              <w:highlight w:val="yellow"/>
            </w:rPr>
            <w:fldChar w:fldCharType="separate"/>
          </w:r>
          <w:r w:rsidR="005358A6" w:rsidRPr="00163A89">
            <w:rPr>
              <w:noProof/>
              <w:color w:val="000000"/>
              <w:highlight w:val="yellow"/>
            </w:rPr>
            <w:t>[7]</w:t>
          </w:r>
          <w:r w:rsidR="00BC2DAD" w:rsidRPr="00163A89">
            <w:rPr>
              <w:color w:val="000000"/>
              <w:highlight w:val="yellow"/>
            </w:rPr>
            <w:fldChar w:fldCharType="end"/>
          </w:r>
        </w:sdtContent>
      </w:sdt>
      <w:r w:rsidRPr="00163A89">
        <w:rPr>
          <w:color w:val="000000"/>
          <w:highlight w:val="yellow"/>
        </w:rPr>
        <w:t>. They observed an increase in the tumbling rate of E. Coli (</w:t>
      </w:r>
      <m:oMath>
        <m:r>
          <w:rPr>
            <w:rFonts w:ascii="Cambria Math" w:eastAsia="Cambria Math" w:hAnsi="Cambria Math"/>
            <w:color w:val="000000"/>
            <w:highlight w:val="yellow"/>
          </w:rPr>
          <m:t>&gt;0.1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moving downstream from a food gradient, while the tumbling rate remains relatively constant (</w:t>
      </w:r>
      <m:oMath>
        <m:r>
          <w:rPr>
            <w:rFonts w:ascii="Cambria Math" w:eastAsia="Cambria Math" w:hAnsi="Cambria Math"/>
            <w:color w:val="000000"/>
            <w:highlight w:val="yellow"/>
          </w:rPr>
          <m:t>~1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163A89">
        <w:rPr>
          <w:color w:val="000000"/>
          <w:highlight w:val="yellow"/>
        </w:rPr>
        <w:t xml:space="preserve"> </w:t>
      </w:r>
      <w:sdt>
        <w:sdtPr>
          <w:rPr>
            <w:color w:val="000000"/>
            <w:highlight w:val="yellow"/>
          </w:rPr>
          <w:id w:val="2067143572"/>
          <w:citation/>
        </w:sdtPr>
        <w:sdtContent>
          <w:r w:rsidR="00DA7072" w:rsidRPr="00163A89">
            <w:rPr>
              <w:color w:val="000000"/>
              <w:highlight w:val="yellow"/>
            </w:rPr>
            <w:fldChar w:fldCharType="begin"/>
          </w:r>
          <w:r w:rsidR="00DA7072" w:rsidRPr="00163A89">
            <w:rPr>
              <w:color w:val="000000"/>
              <w:highlight w:val="yellow"/>
            </w:rPr>
            <w:instrText xml:space="preserve"> CITATION Liu21 \l 1033 </w:instrText>
          </w:r>
          <w:r w:rsidR="000A5159" w:rsidRPr="00163A89">
            <w:rPr>
              <w:color w:val="000000"/>
              <w:highlight w:val="yellow"/>
            </w:rPr>
            <w:instrText xml:space="preserve"> \m JDM00 \m Bro74 \m GNa07 \m Sar12</w:instrText>
          </w:r>
          <w:r w:rsidR="009E0133" w:rsidRPr="00163A89">
            <w:rPr>
              <w:color w:val="000000"/>
              <w:highlight w:val="yellow"/>
            </w:rPr>
            <w:instrText xml:space="preserve"> \m Tso74</w:instrText>
          </w:r>
          <w:r w:rsidR="00DA7072" w:rsidRPr="00163A89">
            <w:rPr>
              <w:color w:val="000000"/>
              <w:highlight w:val="yellow"/>
            </w:rPr>
            <w:fldChar w:fldCharType="separate"/>
          </w:r>
          <w:r w:rsidR="005358A6" w:rsidRPr="00163A89">
            <w:rPr>
              <w:noProof/>
              <w:color w:val="000000"/>
              <w:highlight w:val="yellow"/>
            </w:rPr>
            <w:t>[1, 3, 7, 12, 13, 14]</w:t>
          </w:r>
          <w:r w:rsidR="00DA7072" w:rsidRPr="00163A89">
            <w:rPr>
              <w:color w:val="000000"/>
              <w:highlight w:val="yellow"/>
            </w:rPr>
            <w:fldChar w:fldCharType="end"/>
          </w:r>
        </w:sdtContent>
      </w:sdt>
      <w:r w:rsidRPr="00163A89">
        <w:rPr>
          <w:color w:val="000000"/>
          <w:highlight w:val="yellow"/>
        </w:rPr>
        <w:t>. This is the opposite case for repellants, with bacteria increasing the frequency of tumbling swimming up the gradient, and decreasing swimming down</w:t>
      </w:r>
      <w:r w:rsidR="005A70EA" w:rsidRPr="00163A89">
        <w:rPr>
          <w:color w:val="000000"/>
          <w:highlight w:val="yellow"/>
        </w:rPr>
        <w:t xml:space="preserve"> </w:t>
      </w:r>
      <w:sdt>
        <w:sdtPr>
          <w:rPr>
            <w:color w:val="000000"/>
            <w:highlight w:val="yellow"/>
          </w:rPr>
          <w:id w:val="-1228686667"/>
          <w:citation/>
        </w:sdtPr>
        <w:sdtContent>
          <w:r w:rsidR="005A70EA" w:rsidRPr="00163A89">
            <w:rPr>
              <w:color w:val="000000"/>
              <w:highlight w:val="yellow"/>
            </w:rPr>
            <w:fldChar w:fldCharType="begin"/>
          </w:r>
          <w:r w:rsidR="005A70EA" w:rsidRPr="00163A89">
            <w:rPr>
              <w:color w:val="000000"/>
              <w:highlight w:val="yellow"/>
            </w:rPr>
            <w:instrText xml:space="preserve"> CITATION Tso74 \l 1033 </w:instrText>
          </w:r>
          <w:r w:rsidR="005A70EA" w:rsidRPr="00163A89">
            <w:rPr>
              <w:color w:val="000000"/>
              <w:highlight w:val="yellow"/>
            </w:rPr>
            <w:fldChar w:fldCharType="separate"/>
          </w:r>
          <w:r w:rsidR="005358A6" w:rsidRPr="00163A89">
            <w:rPr>
              <w:noProof/>
              <w:color w:val="000000"/>
              <w:highlight w:val="yellow"/>
            </w:rPr>
            <w:t>[14]</w:t>
          </w:r>
          <w:r w:rsidR="005A70EA" w:rsidRPr="00163A89">
            <w:rPr>
              <w:color w:val="000000"/>
              <w:highlight w:val="yellow"/>
            </w:rPr>
            <w:fldChar w:fldCharType="end"/>
          </w:r>
        </w:sdtContent>
      </w:sdt>
      <w:r w:rsidRPr="00163A89">
        <w:rPr>
          <w:color w:val="000000"/>
          <w:highlight w:val="yellow"/>
        </w:rPr>
        <w:t xml:space="preserve">. This results in an upstream drift velocity,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oMath>
      <w:r w:rsidRPr="00163A89">
        <w:rPr>
          <w:color w:val="000000"/>
          <w:highlight w:val="yellow"/>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163A89">
        <w:rPr>
          <w:color w:val="000000"/>
          <w:highlight w:val="yellow"/>
        </w:rPr>
        <w:t xml:space="preserve"> </w:t>
      </w:r>
      <w:sdt>
        <w:sdtPr>
          <w:rPr>
            <w:color w:val="000000"/>
            <w:highlight w:val="yellow"/>
          </w:rPr>
          <w:id w:val="-1441679048"/>
          <w:citation/>
        </w:sdtPr>
        <w:sdtContent>
          <w:r w:rsidR="005A70EA" w:rsidRPr="00163A89">
            <w:rPr>
              <w:color w:val="000000"/>
              <w:highlight w:val="yellow"/>
            </w:rPr>
            <w:fldChar w:fldCharType="begin"/>
          </w:r>
          <w:r w:rsidR="009E0133" w:rsidRPr="00163A89">
            <w:rPr>
              <w:color w:val="000000"/>
              <w:highlight w:val="yellow"/>
            </w:rPr>
            <w:instrText>CITATION Liu21 \m Mic17 \l 1033  \m Sar12</w:instrText>
          </w:r>
          <w:r w:rsidR="005A70EA" w:rsidRPr="00163A89">
            <w:rPr>
              <w:color w:val="000000"/>
              <w:highlight w:val="yellow"/>
            </w:rPr>
            <w:fldChar w:fldCharType="separate"/>
          </w:r>
          <w:r w:rsidR="005358A6" w:rsidRPr="00163A89">
            <w:rPr>
              <w:noProof/>
              <w:color w:val="000000"/>
              <w:highlight w:val="yellow"/>
            </w:rPr>
            <w:t>[1, 2, 13]</w:t>
          </w:r>
          <w:r w:rsidR="005A70EA" w:rsidRPr="00163A89">
            <w:rPr>
              <w:color w:val="000000"/>
              <w:highlight w:val="yellow"/>
            </w:rPr>
            <w:fldChar w:fldCharType="end"/>
          </w:r>
        </w:sdtContent>
      </w:sdt>
      <w:r w:rsidRPr="00163A89">
        <w:rPr>
          <w:color w:val="000000"/>
          <w:highlight w:val="yellow"/>
        </w:rPr>
        <w:t xml:space="preserve">. In the presence of a nutrient gradient, </w:t>
      </w:r>
      <m:oMath>
        <m:r>
          <m:rPr>
            <m:sty m:val="p"/>
          </m:rPr>
          <w:rPr>
            <w:rFonts w:ascii="Cambria Math" w:hAnsi="Cambria Math"/>
            <w:highlight w:val="yellow"/>
          </w:rPr>
          <m:t>∇</m:t>
        </m:r>
        <m:r>
          <w:rPr>
            <w:rFonts w:ascii="Cambria Math" w:eastAsia="Cambria Math" w:hAnsi="Cambria Math"/>
            <w:color w:val="000000"/>
            <w:highlight w:val="yellow"/>
          </w:rPr>
          <m:t>c</m:t>
        </m:r>
      </m:oMath>
      <w:r w:rsidRPr="00163A89">
        <w:rPr>
          <w:color w:val="000000"/>
          <w:highlight w:val="yellow"/>
        </w:rPr>
        <w:t xml:space="preserve">, the drift velocity has a magnitude of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f>
          <m:fPr>
            <m:ctrlPr>
              <w:rPr>
                <w:rFonts w:ascii="Cambria Math" w:eastAsia="Cambria Math" w:hAnsi="Cambria Math"/>
                <w:color w:val="000000"/>
                <w:highlight w:val="yellow"/>
              </w:rPr>
            </m:ctrlPr>
          </m:fPr>
          <m:num>
            <m:r>
              <w:rPr>
                <w:rFonts w:ascii="Cambria Math" w:eastAsia="Cambria Math" w:hAnsi="Cambria Math"/>
                <w:color w:val="000000"/>
                <w:highlight w:val="yellow"/>
              </w:rPr>
              <m:t>∂F</m:t>
            </m:r>
          </m:num>
          <m:den>
            <m:r>
              <w:rPr>
                <w:rFonts w:ascii="Cambria Math" w:eastAsia="Cambria Math" w:hAnsi="Cambria Math"/>
                <w:color w:val="000000"/>
                <w:highlight w:val="yellow"/>
              </w:rPr>
              <m:t>∂c</m:t>
            </m:r>
          </m:den>
        </m:f>
        <m:r>
          <m:rPr>
            <m:sty m:val="p"/>
          </m:rPr>
          <w:rPr>
            <w:rFonts w:ascii="Cambria Math" w:eastAsia="Cambria Math" w:hAnsi="Cambria Math"/>
            <w:color w:val="000000"/>
            <w:highlight w:val="yellow"/>
          </w:rPr>
          <m:t>∇</m:t>
        </m:r>
        <m:r>
          <w:rPr>
            <w:rFonts w:ascii="Cambria Math" w:eastAsia="Cambria Math" w:hAnsi="Cambria Math"/>
            <w:color w:val="000000"/>
            <w:highlight w:val="yellow"/>
          </w:rPr>
          <m:t>c</m:t>
        </m:r>
      </m:oMath>
      <w:r w:rsidRPr="00163A89">
        <w:rPr>
          <w:color w:val="000000"/>
          <w:highlight w:val="yellow"/>
        </w:rPr>
        <w:t xml:space="preserve">, where the coefficient </w:t>
      </w:r>
      <m:oMath>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oMath>
      <w:r w:rsidRPr="00163A89">
        <w:rPr>
          <w:color w:val="000000"/>
          <w:highlight w:val="yellow"/>
        </w:rPr>
        <w:t xml:space="preserve"> is a function of the mean overall receptor activity, </w:t>
      </w:r>
      <m:oMath>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oMath>
      <w:r w:rsidRPr="00163A89">
        <w:rPr>
          <w:color w:val="000000"/>
          <w:highlight w:val="yellow"/>
        </w:rPr>
        <w:t>.</w:t>
      </w:r>
    </w:p>
    <w:p w14:paraId="165CCFBD" w14:textId="20E40E86" w:rsidR="008A3E21" w:rsidRPr="00B625CC" w:rsidRDefault="00B17FFC" w:rsidP="00B73499">
      <w:pPr>
        <w:pBdr>
          <w:top w:val="nil"/>
          <w:left w:val="nil"/>
          <w:bottom w:val="nil"/>
          <w:right w:val="nil"/>
          <w:between w:val="nil"/>
        </w:pBdr>
        <w:ind w:firstLine="284"/>
        <w:jc w:val="both"/>
        <w:rPr>
          <w:color w:val="000000"/>
        </w:rPr>
      </w:pPr>
      <w:r w:rsidRPr="00B625CC">
        <w:rPr>
          <w:color w:val="000000"/>
        </w:rPr>
        <w:t>The tumble probability function based on the work by Brown and Berg</w:t>
      </w:r>
      <w:r w:rsidR="00163A89">
        <w:rPr>
          <w:color w:val="000000"/>
        </w:rPr>
        <w:t xml:space="preserve"> </w:t>
      </w:r>
      <w:sdt>
        <w:sdtPr>
          <w:id w:val="1861094324"/>
          <w:citation/>
        </w:sdtPr>
        <w:sdtContent>
          <w:r w:rsidR="00163A89" w:rsidRPr="00B625CC">
            <w:fldChar w:fldCharType="begin"/>
          </w:r>
          <w:r w:rsidR="00163A89" w:rsidRPr="00B625CC">
            <w:instrText xml:space="preserve"> CITATION Bro74 \l 1033 </w:instrText>
          </w:r>
          <w:r w:rsidR="00163A89" w:rsidRPr="00B625CC">
            <w:fldChar w:fldCharType="separate"/>
          </w:r>
          <w:r w:rsidR="00163A89" w:rsidRPr="00B625CC">
            <w:rPr>
              <w:noProof/>
            </w:rPr>
            <w:t>[7]</w:t>
          </w:r>
          <w:r w:rsidR="00163A89" w:rsidRPr="00B625CC">
            <w:fldChar w:fldCharType="end"/>
          </w:r>
        </w:sdtContent>
      </w:sdt>
      <w:r w:rsidR="00163A89">
        <w:t>.</w:t>
      </w:r>
      <w:r w:rsidRPr="00B625CC">
        <w:rPr>
          <w:color w:val="000000"/>
        </w:rPr>
        <w:t xml:space="preserve"> The function can be a basis for an 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w:t>
      </w:r>
      <w:r w:rsidR="00282AF0">
        <w:rPr>
          <w:color w:val="000000"/>
        </w:rPr>
        <w:t xml:space="preserve"> </w:t>
      </w:r>
      <w:r w:rsidRPr="00B625CC">
        <w:rPr>
          <w:color w:val="000000"/>
        </w:rPr>
        <w:t>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w:t>
      </w:r>
      <w:r w:rsidR="00D45CAF" w:rsidRPr="00B625CC">
        <w:rPr>
          <w:color w:val="000000"/>
        </w:rPr>
        <w:lastRenderedPageBreak/>
        <w:t xml:space="preserve">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w:t>
      </w:r>
      <w:proofErr w:type="spellStart"/>
      <w:r w:rsidR="000F029E" w:rsidRPr="00B625CC">
        <w:rPr>
          <w:color w:val="000000"/>
        </w:rPr>
        <w:t>Sourjik</w:t>
      </w:r>
      <w:proofErr w:type="spellEnd"/>
      <w:r w:rsidR="000F029E" w:rsidRPr="00B625CC">
        <w:rPr>
          <w:color w:val="000000"/>
        </w:rPr>
        <w:t xml:space="preserve"> et al</w:t>
      </w:r>
      <w:r w:rsidR="00D97894">
        <w:rPr>
          <w:color w:val="000000"/>
        </w:rPr>
        <w:t xml:space="preserve">, </w:t>
      </w:r>
      <w:r w:rsidR="000F029E" w:rsidRPr="00B625CC">
        <w:rPr>
          <w:color w:val="000000"/>
        </w:rPr>
        <w:t>Tu et al</w:t>
      </w:r>
      <w:r w:rsidR="00D97894">
        <w:rPr>
          <w:color w:val="000000"/>
        </w:rPr>
        <w:t>, and Brown and Berg</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D97894">
            <w:rPr>
              <w:color w:val="000000"/>
            </w:rPr>
            <w:instrText xml:space="preserve"> \m Bro74</w:instrText>
          </w:r>
          <w:r w:rsidR="00A819BF" w:rsidRPr="00B625CC">
            <w:rPr>
              <w:color w:val="000000"/>
            </w:rPr>
            <w:fldChar w:fldCharType="separate"/>
          </w:r>
          <w:r w:rsidR="00D97894" w:rsidRPr="00D97894">
            <w:rPr>
              <w:noProof/>
              <w:color w:val="000000"/>
            </w:rPr>
            <w:t>[2, 6, 7]</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D97894">
        <w:rPr>
          <w:color w:val="000000"/>
        </w:rPr>
        <w:t>.</w:t>
      </w:r>
    </w:p>
    <w:p w14:paraId="5CA766C8" w14:textId="172D2CCB"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w:t>
      </w:r>
      <w:r w:rsidR="00D97894">
        <w:rPr>
          <w:color w:val="000000"/>
        </w:rPr>
        <w:t>a parameter</w:t>
      </w:r>
      <w:r w:rsidRPr="00B625CC">
        <w:rPr>
          <w:color w:val="000000"/>
        </w:rPr>
        <w:t xml:space="preserve"> </w:t>
      </w:r>
      <m:oMath>
        <m:r>
          <w:rPr>
            <w:rFonts w:ascii="Cambria Math" w:hAnsi="Cambria Math"/>
            <w:color w:val="000000"/>
          </w:rPr>
          <m:t>α</m:t>
        </m:r>
      </m:oMath>
      <w:r w:rsidRPr="00B625CC">
        <w:rPr>
          <w:color w:val="000000"/>
        </w:rPr>
        <w:t xml:space="preserve"> </w:t>
      </w:r>
      <w:r w:rsidR="00E55A95" w:rsidRPr="00B625CC">
        <w:rPr>
          <w:color w:val="000000"/>
        </w:rPr>
        <w:t xml:space="preserve">in </w:t>
      </w:r>
      <w:r w:rsidR="00D97894">
        <w:rPr>
          <w:color w:val="000000"/>
        </w:rPr>
        <w:t>a</w:t>
      </w:r>
      <w:r w:rsidR="00E55A95" w:rsidRPr="00B625CC">
        <w:rPr>
          <w:color w:val="000000"/>
        </w:rPr>
        <w:t xml:space="preserve"> distribution function</w:t>
      </w:r>
      <w:r w:rsidR="00D97894">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that produce accurate chemotactic motions</w:t>
      </w:r>
      <w:r w:rsidR="000E65FF" w:rsidRPr="00B625CC">
        <w:rPr>
          <w:color w:val="000000"/>
        </w:rPr>
        <w:t xml:space="preserve"> without knowing the </w:t>
      </w:r>
      <w:r w:rsidR="00D97894">
        <w:rPr>
          <w:color w:val="000000"/>
        </w:rPr>
        <w:t>drift velocity equation</w:t>
      </w:r>
      <w:r w:rsidRPr="00B625CC">
        <w:rPr>
          <w:color w:val="000000"/>
        </w:rPr>
        <w:t xml:space="preserve">, </w:t>
      </w:r>
      <w:r w:rsidR="00D97894">
        <w:rPr>
          <w:color w:val="000000"/>
        </w:rPr>
        <w:t>that</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w:t>
      </w:r>
      <w:r w:rsidR="00D97894">
        <w:rPr>
          <w:color w:val="000000"/>
        </w:rPr>
        <w:t xml:space="preserve">fitted mean </w:t>
      </w:r>
      <w:r w:rsidRPr="00B625CC">
        <w:rPr>
          <w:color w:val="000000"/>
        </w:rPr>
        <w:t xml:space="preserve">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691EC2" w:rsidRDefault="00753982" w:rsidP="00B73499">
      <w:pPr>
        <w:rPr>
          <w:highlight w:val="yellow"/>
        </w:rPr>
      </w:pPr>
      <w:r w:rsidRPr="00B625CC">
        <w:tab/>
      </w:r>
      <w:r w:rsidRPr="00691EC2">
        <w:rPr>
          <w:highlight w:val="yellow"/>
        </w:rPr>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691EC2">
        <w:rPr>
          <w:highlight w:val="yellow"/>
        </w:rPr>
        <w:t xml:space="preserve"> </w:t>
      </w:r>
      <w:sdt>
        <w:sdtPr>
          <w:rPr>
            <w:highlight w:val="yellow"/>
          </w:rPr>
          <w:id w:val="-1036964881"/>
          <w:citation/>
        </w:sdtPr>
        <w:sdtContent>
          <w:r w:rsidR="00327E39" w:rsidRPr="00691EC2">
            <w:rPr>
              <w:highlight w:val="yellow"/>
            </w:rPr>
            <w:fldChar w:fldCharType="begin"/>
          </w:r>
          <w:r w:rsidR="00327E39" w:rsidRPr="00691EC2">
            <w:rPr>
              <w:highlight w:val="yellow"/>
            </w:rPr>
            <w:instrText xml:space="preserve"> CITATION Mic17 \l 1033  \m SiG10 \m Sou12</w:instrText>
          </w:r>
          <w:r w:rsidR="00327E39" w:rsidRPr="00691EC2">
            <w:rPr>
              <w:highlight w:val="yellow"/>
            </w:rPr>
            <w:fldChar w:fldCharType="separate"/>
          </w:r>
          <w:r w:rsidR="005358A6" w:rsidRPr="00691EC2">
            <w:rPr>
              <w:noProof/>
              <w:highlight w:val="yellow"/>
            </w:rPr>
            <w:t>[2, 4, 8]</w:t>
          </w:r>
          <w:r w:rsidR="00327E39" w:rsidRPr="00691EC2">
            <w:rPr>
              <w:highlight w:val="yellow"/>
            </w:rPr>
            <w:fldChar w:fldCharType="end"/>
          </w:r>
        </w:sdtContent>
      </w:sdt>
      <w:r w:rsidRPr="00691EC2">
        <w:rPr>
          <w:highlight w:val="yellow"/>
        </w:rPr>
        <w:t xml:space="preserve">. Most of the knowledge of bacteria chemotaxis comes from the study of E. coli, which swims using multiple flagella. E. coli </w:t>
      </w:r>
      <w:proofErr w:type="gramStart"/>
      <w:r w:rsidRPr="00691EC2">
        <w:rPr>
          <w:highlight w:val="yellow"/>
        </w:rPr>
        <w:t>use</w:t>
      </w:r>
      <w:proofErr w:type="gramEnd"/>
      <w:r w:rsidRPr="00691EC2">
        <w:rPr>
          <w:highlight w:val="yellow"/>
        </w:rPr>
        <w:t xml:space="preserve"> their multiple flagella in a run and tumble like motion to propel the cell forward and then reorient the direction of the cell for the next run. </w:t>
      </w:r>
      <w:r w:rsidR="00623FA1" w:rsidRPr="00691EC2">
        <w:rPr>
          <w:highlight w:val="yellow"/>
        </w:rPr>
        <w:t xml:space="preserve">An algorithm to describe this motion is discussed in Part II. </w:t>
      </w:r>
      <w:r w:rsidR="0060590A" w:rsidRPr="00691EC2">
        <w:rPr>
          <w:highlight w:val="yellow"/>
        </w:rPr>
        <w:t>Part I will model how t</w:t>
      </w:r>
      <w:r w:rsidRPr="00691EC2">
        <w:rPr>
          <w:highlight w:val="yellow"/>
        </w:rPr>
        <w:t>he external attractant chemicals (ligands) are detected by membrane-bound chemoreceptors on a flagellar motor</w:t>
      </w:r>
      <w:r w:rsidR="0060590A" w:rsidRPr="00691EC2">
        <w:rPr>
          <w:highlight w:val="yellow"/>
        </w:rPr>
        <w:t xml:space="preserve">. The receptors </w:t>
      </w:r>
      <w:r w:rsidRPr="00691EC2">
        <w:rPr>
          <w:highlight w:val="yellow"/>
        </w:rPr>
        <w:t>use enzymes to add/remove methyl groups (methylation and demethylation), a process which depend on the receptor kinase activity</w:t>
      </w:r>
      <w:r w:rsidR="002F724F" w:rsidRPr="00691EC2">
        <w:rPr>
          <w:highlight w:val="yellow"/>
        </w:rPr>
        <w:t xml:space="preserve"> </w:t>
      </w:r>
      <w:sdt>
        <w:sdtPr>
          <w:rPr>
            <w:highlight w:val="yellow"/>
          </w:rPr>
          <w:id w:val="-1038508561"/>
          <w:citation/>
        </w:sdtPr>
        <w:sdtContent>
          <w:r w:rsidR="002F724F" w:rsidRPr="00691EC2">
            <w:rPr>
              <w:highlight w:val="yellow"/>
            </w:rPr>
            <w:fldChar w:fldCharType="begin"/>
          </w:r>
          <w:r w:rsidR="002F724F" w:rsidRPr="00691EC2">
            <w:rPr>
              <w:highlight w:val="yellow"/>
            </w:rPr>
            <w:instrText xml:space="preserve"> CITATION Mic17 \l 1033  \m SiG10 \m Kal091</w:instrText>
          </w:r>
          <w:r w:rsidR="002F724F" w:rsidRPr="00691EC2">
            <w:rPr>
              <w:highlight w:val="yellow"/>
            </w:rPr>
            <w:fldChar w:fldCharType="separate"/>
          </w:r>
          <w:r w:rsidR="005358A6" w:rsidRPr="00691EC2">
            <w:rPr>
              <w:noProof/>
              <w:highlight w:val="yellow"/>
            </w:rPr>
            <w:t>[2, 4, 20]</w:t>
          </w:r>
          <w:r w:rsidR="002F724F" w:rsidRPr="00691EC2">
            <w:rPr>
              <w:highlight w:val="yellow"/>
            </w:rPr>
            <w:fldChar w:fldCharType="end"/>
          </w:r>
        </w:sdtContent>
      </w:sdt>
      <w:r w:rsidRPr="00691EC2">
        <w:rPr>
          <w:highlight w:val="yellow"/>
        </w:rPr>
        <w:t xml:space="preserve">. </w:t>
      </w:r>
      <w:r w:rsidR="0060590A" w:rsidRPr="00691EC2">
        <w:rPr>
          <w:highlight w:val="yellow"/>
        </w:rPr>
        <w:t>This process of the</w:t>
      </w:r>
      <w:r w:rsidRPr="00691EC2">
        <w:rPr>
          <w:highlight w:val="yellow"/>
        </w:rPr>
        <w:t xml:space="preserve"> flagellar motor will change its rotation from counterclockwise (CCW) to clockwise (CW), which in turn causes the motion of the E. coli cell to change from run to tumble</w:t>
      </w:r>
      <w:r w:rsidR="005D6C9B" w:rsidRPr="00691EC2">
        <w:rPr>
          <w:highlight w:val="yellow"/>
        </w:rPr>
        <w:t xml:space="preserve"> </w:t>
      </w:r>
      <w:sdt>
        <w:sdtPr>
          <w:rPr>
            <w:highlight w:val="yellow"/>
          </w:rPr>
          <w:id w:val="-410625032"/>
          <w:citation/>
        </w:sdtPr>
        <w:sdtContent>
          <w:r w:rsidR="005D6C9B" w:rsidRPr="00691EC2">
            <w:rPr>
              <w:highlight w:val="yellow"/>
            </w:rPr>
            <w:fldChar w:fldCharType="begin"/>
          </w:r>
          <w:r w:rsidR="00623FA1" w:rsidRPr="00691EC2">
            <w:rPr>
              <w:highlight w:val="yellow"/>
            </w:rPr>
            <w:instrText>CITATION Mic17 \m SiG10 \m Son16 \m SiG12 \l 1033  \m Kal091</w:instrText>
          </w:r>
          <w:r w:rsidR="005D6C9B" w:rsidRPr="00691EC2">
            <w:rPr>
              <w:highlight w:val="yellow"/>
            </w:rPr>
            <w:fldChar w:fldCharType="separate"/>
          </w:r>
          <w:r w:rsidR="005358A6" w:rsidRPr="00691EC2">
            <w:rPr>
              <w:noProof/>
              <w:highlight w:val="yellow"/>
            </w:rPr>
            <w:t>[2, 4, 5, 6, 20]</w:t>
          </w:r>
          <w:r w:rsidR="005D6C9B" w:rsidRPr="00691EC2">
            <w:rPr>
              <w:highlight w:val="yellow"/>
            </w:rPr>
            <w:fldChar w:fldCharType="end"/>
          </w:r>
        </w:sdtContent>
      </w:sdt>
      <w:r w:rsidRPr="00691EC2">
        <w:rPr>
          <w:highlight w:val="yellow"/>
        </w:rPr>
        <w:t>.</w:t>
      </w:r>
    </w:p>
    <w:p w14:paraId="781343C4" w14:textId="326DF0F5" w:rsidR="001F2EBE" w:rsidRPr="00B625CC" w:rsidRDefault="00753982" w:rsidP="00B73499">
      <w:pPr>
        <w:ind w:firstLine="720"/>
      </w:pPr>
      <w:r w:rsidRPr="00691EC2">
        <w:rPr>
          <w:highlight w:val="yellow"/>
        </w:rPr>
        <w:t xml:space="preserve">Analytical calculations of average drift velocity </w:t>
      </w:r>
      <w:r w:rsidR="00BB2969" w:rsidRPr="00691EC2">
        <w:rPr>
          <w:highlight w:val="yellow"/>
        </w:rPr>
        <w:t>are</w:t>
      </w:r>
      <w:r w:rsidRPr="00691EC2">
        <w:rPr>
          <w:highlight w:val="yellow"/>
        </w:rPr>
        <w:t xml:space="preserve"> limited to shallow gradients due to the sensitivity of receptors</w:t>
      </w:r>
      <w:r w:rsidR="005D6C9B" w:rsidRPr="00691EC2">
        <w:rPr>
          <w:highlight w:val="yellow"/>
        </w:rPr>
        <w:t xml:space="preserve"> </w:t>
      </w:r>
      <w:sdt>
        <w:sdtPr>
          <w:rPr>
            <w:highlight w:val="yellow"/>
          </w:rPr>
          <w:id w:val="832504806"/>
          <w:citation/>
        </w:sdtPr>
        <w:sdtContent>
          <w:r w:rsidR="005D6C9B" w:rsidRPr="00691EC2">
            <w:rPr>
              <w:highlight w:val="yellow"/>
            </w:rPr>
            <w:fldChar w:fldCharType="begin"/>
          </w:r>
          <w:r w:rsidR="005D6C9B" w:rsidRPr="00691EC2">
            <w:rPr>
              <w:highlight w:val="yellow"/>
            </w:rPr>
            <w:instrText xml:space="preserve"> CITATION Mic17 \l 1033  \m SiG10</w:instrText>
          </w:r>
          <w:r w:rsidR="005D6C9B" w:rsidRPr="00691EC2">
            <w:rPr>
              <w:highlight w:val="yellow"/>
            </w:rPr>
            <w:fldChar w:fldCharType="separate"/>
          </w:r>
          <w:r w:rsidR="005358A6" w:rsidRPr="00691EC2">
            <w:rPr>
              <w:noProof/>
              <w:highlight w:val="yellow"/>
            </w:rPr>
            <w:t>[2, 4]</w:t>
          </w:r>
          <w:r w:rsidR="005D6C9B" w:rsidRPr="00691EC2">
            <w:rPr>
              <w:highlight w:val="yellow"/>
            </w:rPr>
            <w:fldChar w:fldCharType="end"/>
          </w:r>
        </w:sdtContent>
      </w:sdt>
      <w:r w:rsidRPr="00691EC2">
        <w:rPr>
          <w:highlight w:val="yellow"/>
        </w:rPr>
        <w:t>. In steeper gradients</w:t>
      </w:r>
      <w:r w:rsidR="00664C1A" w:rsidRPr="00691EC2">
        <w:rPr>
          <w:highlight w:val="yellow"/>
        </w:rPr>
        <w:t>, including exponential gradients,</w:t>
      </w:r>
      <w:r w:rsidRPr="00691EC2">
        <w:rPr>
          <w:highlight w:val="yellow"/>
        </w:rP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691EC2">
        <w:rPr>
          <w:highlight w:val="yellow"/>
        </w:rPr>
        <w:t xml:space="preserve"> </w:t>
      </w:r>
      <w:sdt>
        <w:sdtPr>
          <w:rPr>
            <w:highlight w:val="yellow"/>
          </w:rPr>
          <w:id w:val="1777289776"/>
          <w:citation/>
        </w:sdtPr>
        <w:sdtContent>
          <w:r w:rsidR="005D6C9B" w:rsidRPr="00691EC2">
            <w:rPr>
              <w:highlight w:val="yellow"/>
            </w:rPr>
            <w:fldChar w:fldCharType="begin"/>
          </w:r>
          <w:r w:rsidR="005D6C9B" w:rsidRPr="00691EC2">
            <w:rPr>
              <w:highlight w:val="yellow"/>
            </w:rPr>
            <w:instrText xml:space="preserve"> CITATION Mic17 \l 1033  \m SiG10 \m SiG12</w:instrText>
          </w:r>
          <w:r w:rsidR="005D6C9B" w:rsidRPr="00691EC2">
            <w:rPr>
              <w:highlight w:val="yellow"/>
            </w:rPr>
            <w:fldChar w:fldCharType="separate"/>
          </w:r>
          <w:r w:rsidR="005358A6" w:rsidRPr="00691EC2">
            <w:rPr>
              <w:noProof/>
              <w:highlight w:val="yellow"/>
            </w:rPr>
            <w:t>[2, 4, 6]</w:t>
          </w:r>
          <w:r w:rsidR="005D6C9B" w:rsidRPr="00691EC2">
            <w:rPr>
              <w:highlight w:val="yellow"/>
            </w:rPr>
            <w:fldChar w:fldCharType="end"/>
          </w:r>
        </w:sdtContent>
      </w:sdt>
      <w:r w:rsidRPr="00691EC2">
        <w:rPr>
          <w:highlight w:val="yellow"/>
        </w:rPr>
        <w:t xml:space="preserve">. </w:t>
      </w:r>
      <w:r w:rsidR="00664C1A" w:rsidRPr="00691EC2">
        <w:rPr>
          <w:highlight w:val="yellow"/>
        </w:rPr>
        <w:t>Chemotaxis at steep gradients is modeled by</w:t>
      </w:r>
      <w:r w:rsidRPr="00691EC2">
        <w:rPr>
          <w:highlight w:val="yellow"/>
        </w:rPr>
        <w:t xml:space="preserve"> the receptor free energy </w:t>
      </w:r>
      <w:r w:rsidR="00664C1A" w:rsidRPr="00691EC2">
        <w:rPr>
          <w:highlight w:val="yellow"/>
        </w:rPr>
        <w:t>that includes</w:t>
      </w:r>
      <w:r w:rsidRPr="00691EC2">
        <w:rPr>
          <w:highlight w:val="yellow"/>
        </w:rPr>
        <w:t xml:space="preserve"> methylation and ligand binding</w:t>
      </w:r>
      <w:r w:rsidR="009372DC" w:rsidRPr="00691EC2">
        <w:rPr>
          <w:highlight w:val="yellow"/>
        </w:rPr>
        <w:t xml:space="preserve"> </w:t>
      </w:r>
      <w:sdt>
        <w:sdtPr>
          <w:rPr>
            <w:highlight w:val="yellow"/>
          </w:rPr>
          <w:id w:val="921922207"/>
          <w:citation/>
        </w:sdtPr>
        <w:sdtContent>
          <w:r w:rsidR="009372DC" w:rsidRPr="00691EC2">
            <w:rPr>
              <w:highlight w:val="yellow"/>
            </w:rPr>
            <w:fldChar w:fldCharType="begin"/>
          </w:r>
          <w:r w:rsidR="009372DC" w:rsidRPr="00691EC2">
            <w:rPr>
              <w:highlight w:val="yellow"/>
              <w:lang w:val="en-CA"/>
            </w:rPr>
            <w:instrText xml:space="preserve"> CITATION Liu21 \l 4105  \m Mic17 \m Liu19</w:instrText>
          </w:r>
          <w:r w:rsidR="009372DC" w:rsidRPr="00691EC2">
            <w:rPr>
              <w:highlight w:val="yellow"/>
            </w:rPr>
            <w:fldChar w:fldCharType="separate"/>
          </w:r>
          <w:r w:rsidR="005358A6" w:rsidRPr="00691EC2">
            <w:rPr>
              <w:noProof/>
              <w:highlight w:val="yellow"/>
              <w:lang w:val="en-CA"/>
            </w:rPr>
            <w:t>[1, 2, 21]</w:t>
          </w:r>
          <w:r w:rsidR="009372DC" w:rsidRPr="00691EC2">
            <w:rPr>
              <w:highlight w:val="yellow"/>
            </w:rPr>
            <w:fldChar w:fldCharType="end"/>
          </w:r>
        </w:sdtContent>
      </w:sdt>
      <w:r w:rsidRPr="00691EC2">
        <w:rPr>
          <w:highlight w:val="yellow"/>
        </w:rPr>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w:t>
      </w:r>
      <w:r w:rsidR="00924F77" w:rsidRPr="00B625CC">
        <w:rPr>
          <w:highlight w:val="white"/>
        </w:rPr>
        <w:lastRenderedPageBreak/>
        <w:t xml:space="preserve">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FF4F163"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41836AD5"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FA73FC">
        <w:t xml:space="preserve"> with a variance aware loss function</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8EDD605"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25A957A1"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practices </w:t>
      </w:r>
      <w:r w:rsidRPr="00B625CC">
        <w:lastRenderedPageBreak/>
        <w:t xml:space="preserve">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500B6CF6"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and as discussed in Section 5,</w:t>
      </w:r>
      <w:r w:rsidR="00506485">
        <w:rPr>
          <w:rFonts w:ascii="Times New Roman" w:eastAsiaTheme="minorEastAsia" w:hAnsi="Times New Roman" w:cs="Times New Roman"/>
        </w:rPr>
        <w:t xml:space="preserve"> using</w:t>
      </w:r>
      <w:r w:rsidR="009A13FA" w:rsidRPr="00B625CC">
        <w:rPr>
          <w:rFonts w:ascii="Times New Roman" w:eastAsiaTheme="minorEastAsia" w:hAnsi="Times New Roman" w:cs="Times New Roman"/>
        </w:rPr>
        <w:t xml:space="preserve"> </w:t>
      </w:r>
      <w:r w:rsidR="00506485">
        <w:rPr>
          <w:rFonts w:ascii="Times New Roman" w:eastAsiaTheme="minorEastAsia" w:hAnsi="Times New Roman" w:cs="Times New Roman"/>
        </w:rPr>
        <w:t xml:space="preserve">a </w:t>
      </w:r>
      <w:r w:rsidR="009A13FA" w:rsidRPr="00B625CC">
        <w:rPr>
          <w:rFonts w:ascii="Times New Roman" w:hAnsi="Times New Roman" w:cs="Times New Roman"/>
        </w:rPr>
        <w:t>f</w:t>
      </w:r>
      <w:r w:rsidR="00506485">
        <w:rPr>
          <w:rFonts w:ascii="Times New Roman" w:hAnsi="Times New Roman" w:cs="Times New Roman"/>
        </w:rPr>
        <w:t>inite</w:t>
      </w:r>
      <w:r w:rsidR="009A13FA" w:rsidRPr="00B625CC">
        <w:rPr>
          <w:rFonts w:ascii="Times New Roman"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78B8DC5E"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w:t>
      </w:r>
      <w:r w:rsidR="00236874">
        <w:rPr>
          <w:rFonts w:ascii="Times New Roman" w:hAnsi="Times New Roman" w:cs="Times New Roman"/>
        </w:rPr>
        <w:t>T</w:t>
      </w:r>
      <w:r w:rsidR="00B625CC" w:rsidRPr="00B625CC">
        <w:rPr>
          <w:rFonts w:ascii="Times New Roman" w:hAnsi="Times New Roman" w:cs="Times New Roman"/>
          <w:highlight w:val="yellow"/>
        </w:rPr>
        <w:t xml:space="preserve">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308F82AB"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236874">
        <w:t xml:space="preserve"> </w:t>
      </w:r>
      <m:oMath>
        <m:d>
          <m:dPr>
            <m:ctrlPr>
              <w:rPr>
                <w:rFonts w:ascii="Cambria Math" w:hAnsi="Cambria Math"/>
                <w:i/>
              </w:rPr>
            </m:ctrlPr>
          </m:dPr>
          <m:e>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r>
              <w:rPr>
                <w:rFonts w:ascii="Cambria Math" w:hAnsi="Cambria Math"/>
              </w:rPr>
              <m:t>∙100%</m:t>
            </m:r>
          </m:e>
        </m:d>
      </m:oMath>
      <w:r w:rsidR="008622F1" w:rsidRPr="00B625CC">
        <w:t>.</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18AF86DE" w:rsidR="004F1F73" w:rsidRPr="00C92B53" w:rsidRDefault="004F1F73" w:rsidP="00B73499">
      <w:pPr>
        <w:ind w:firstLine="720"/>
        <w:rPr>
          <w:highlight w:val="red"/>
        </w:rPr>
      </w:pPr>
      <w:r w:rsidRPr="00C92B53">
        <w:rPr>
          <w:highlight w:val="red"/>
        </w:rPr>
        <w:t xml:space="preserve">As a consequence of Eq. (3), chemotaxis depends on relative changes in in food concentration as opposed to absolute changes. Fold-change detection (FCD) by </w:t>
      </w:r>
      <w:proofErr w:type="spellStart"/>
      <w:r w:rsidRPr="00C92B53">
        <w:rPr>
          <w:highlight w:val="red"/>
        </w:rPr>
        <w:t>Goentoro</w:t>
      </w:r>
      <w:proofErr w:type="spellEnd"/>
      <w:r w:rsidRPr="00C92B53">
        <w:rPr>
          <w:highlight w:val="red"/>
        </w:rPr>
        <w:t xml:space="preserve"> et al. </w:t>
      </w:r>
      <w:sdt>
        <w:sdtPr>
          <w:rPr>
            <w:highlight w:val="red"/>
          </w:rPr>
          <w:id w:val="-1514834464"/>
          <w:citation/>
        </w:sdtPr>
        <w:sdtContent>
          <w:r w:rsidRPr="00C92B53">
            <w:rPr>
              <w:highlight w:val="red"/>
            </w:rPr>
            <w:fldChar w:fldCharType="begin"/>
          </w:r>
          <w:r w:rsidRPr="00C92B53">
            <w:rPr>
              <w:highlight w:val="red"/>
            </w:rPr>
            <w:instrText xml:space="preserve">CITATION Gor09 \l 1033 </w:instrText>
          </w:r>
          <w:r w:rsidRPr="00C92B53">
            <w:rPr>
              <w:highlight w:val="red"/>
            </w:rPr>
            <w:fldChar w:fldCharType="separate"/>
          </w:r>
          <w:r w:rsidR="005358A6" w:rsidRPr="00C92B53">
            <w:rPr>
              <w:noProof/>
              <w:highlight w:val="red"/>
            </w:rPr>
            <w:t>[47]</w:t>
          </w:r>
          <w:r w:rsidRPr="00C92B53">
            <w:rPr>
              <w:highlight w:val="red"/>
            </w:rPr>
            <w:fldChar w:fldCharType="end"/>
          </w:r>
        </w:sdtContent>
      </w:sdt>
      <w:r w:rsidRPr="00C92B53">
        <w:rPr>
          <w:highlight w:val="red"/>
        </w:rPr>
        <w:t xml:space="preserve"> was made as a general sensory law for biological systems</w:t>
      </w:r>
      <w:r w:rsidR="000507E0" w:rsidRPr="00C92B53">
        <w:rPr>
          <w:highlight w:val="red"/>
        </w:rPr>
        <w:t xml:space="preserve">. </w:t>
      </w:r>
      <w:r w:rsidR="00773278" w:rsidRPr="00C92B53">
        <w:rPr>
          <w:highlight w:val="red"/>
        </w:rPr>
        <w:t xml:space="preserve">Subsequent experiments by Lazova et al. </w:t>
      </w:r>
      <w:sdt>
        <w:sdtPr>
          <w:rPr>
            <w:highlight w:val="red"/>
          </w:rPr>
          <w:id w:val="843358055"/>
          <w:citation/>
        </w:sdtPr>
        <w:sdtContent>
          <w:r w:rsidR="00773278" w:rsidRPr="00C92B53">
            <w:rPr>
              <w:highlight w:val="red"/>
            </w:rPr>
            <w:fldChar w:fldCharType="begin"/>
          </w:r>
          <w:r w:rsidR="00773278" w:rsidRPr="00C92B53">
            <w:rPr>
              <w:highlight w:val="red"/>
            </w:rPr>
            <w:instrText xml:space="preserve"> CITATION Laz11 \l 1033 </w:instrText>
          </w:r>
          <w:r w:rsidR="00773278" w:rsidRPr="00C92B53">
            <w:rPr>
              <w:highlight w:val="red"/>
            </w:rPr>
            <w:fldChar w:fldCharType="separate"/>
          </w:r>
          <w:r w:rsidR="005358A6" w:rsidRPr="00C92B53">
            <w:rPr>
              <w:noProof/>
              <w:highlight w:val="red"/>
            </w:rPr>
            <w:t>[48]</w:t>
          </w:r>
          <w:r w:rsidR="00773278" w:rsidRPr="00C92B53">
            <w:rPr>
              <w:highlight w:val="red"/>
            </w:rPr>
            <w:fldChar w:fldCharType="end"/>
          </w:r>
        </w:sdtContent>
      </w:sdt>
      <w:r w:rsidR="00773278" w:rsidRPr="00C92B53">
        <w:rPr>
          <w:highlight w:val="red"/>
        </w:rPr>
        <w:t xml:space="preserve"> showed that FCD also occurs during Escherichia coli chemotaxis, with bacterial signaling depending on the relative change in ligand concentration rather than the absolute level.</w:t>
      </w:r>
      <w:r w:rsidR="003104C5" w:rsidRPr="00C92B53">
        <w:rPr>
          <w:highlight w:val="red"/>
        </w:rPr>
        <w:t xml:space="preserve"> </w:t>
      </w:r>
      <w:r w:rsidRPr="00C92B53">
        <w:rPr>
          <w:highlight w:val="red"/>
        </w:rPr>
        <w:t>Tu et al.</w:t>
      </w:r>
      <w:r w:rsidR="000507E0" w:rsidRPr="00C92B53">
        <w:rPr>
          <w:highlight w:val="red"/>
        </w:rPr>
        <w:t xml:space="preserve"> </w:t>
      </w:r>
      <w:sdt>
        <w:sdtPr>
          <w:rPr>
            <w:highlight w:val="red"/>
          </w:rPr>
          <w:id w:val="-1721354900"/>
          <w:citation/>
        </w:sdtPr>
        <w:sdtContent>
          <w:r w:rsidR="00B362CB" w:rsidRPr="00C92B53">
            <w:rPr>
              <w:highlight w:val="red"/>
            </w:rPr>
            <w:fldChar w:fldCharType="begin"/>
          </w:r>
          <w:r w:rsidR="00B362CB" w:rsidRPr="00C92B53">
            <w:rPr>
              <w:highlight w:val="red"/>
            </w:rPr>
            <w:instrText xml:space="preserve"> CITATION Kal091 \l 1033 </w:instrText>
          </w:r>
          <w:r w:rsidR="00B362CB" w:rsidRPr="00C92B53">
            <w:rPr>
              <w:highlight w:val="red"/>
            </w:rPr>
            <w:fldChar w:fldCharType="separate"/>
          </w:r>
          <w:r w:rsidR="005358A6" w:rsidRPr="00C92B53">
            <w:rPr>
              <w:noProof/>
              <w:highlight w:val="red"/>
            </w:rPr>
            <w:t>[20]</w:t>
          </w:r>
          <w:r w:rsidR="00B362CB" w:rsidRPr="00C92B53">
            <w:rPr>
              <w:highlight w:val="red"/>
            </w:rPr>
            <w:fldChar w:fldCharType="end"/>
          </w:r>
        </w:sdtContent>
      </w:sdt>
      <w:r w:rsidR="00B362CB" w:rsidRPr="00C92B53">
        <w:rPr>
          <w:highlight w:val="red"/>
        </w:rPr>
        <w:t xml:space="preserve"> </w:t>
      </w:r>
      <w:r w:rsidR="003104C5" w:rsidRPr="00C92B53">
        <w:rPr>
          <w:highlight w:val="red"/>
        </w:rPr>
        <w:t>further</w:t>
      </w:r>
      <w:r w:rsidRPr="00C92B53">
        <w:rPr>
          <w:highlight w:val="red"/>
        </w:rPr>
        <w:t xml:space="preserve"> showed that E. coli chemotaxis </w:t>
      </w:r>
      <w:r w:rsidR="003104C5" w:rsidRPr="00C92B53">
        <w:rPr>
          <w:highlight w:val="red"/>
        </w:rPr>
        <w:t xml:space="preserve">logarithmic sensing </w:t>
      </w:r>
      <w:r w:rsidRPr="00C92B53">
        <w:rPr>
          <w:highlight w:val="red"/>
        </w:rPr>
        <w:t>depends on the relative rate of receptor stimulation through biochemical methylation feedback</w:t>
      </w:r>
      <w:r w:rsidR="005D1C7B" w:rsidRPr="00C92B53">
        <w:rPr>
          <w:highlight w:val="red"/>
        </w:rPr>
        <w:t xml:space="preserve">. </w:t>
      </w:r>
      <w:r w:rsidR="00CC1871" w:rsidRPr="00C92B53">
        <w:rPr>
          <w:highlight w:val="red"/>
        </w:rPr>
        <w:t xml:space="preserve">The bacterial receptor can bind or unbind attractant molecules, producing a fractional occupancy </w:t>
      </w:r>
      <w:sdt>
        <w:sdtPr>
          <w:rPr>
            <w:highlight w:val="red"/>
          </w:rPr>
          <w:id w:val="1418131138"/>
          <w:citation/>
        </w:sdtPr>
        <w:sdtContent>
          <w:r w:rsidR="00CC1871" w:rsidRPr="00C92B53">
            <w:rPr>
              <w:highlight w:val="red"/>
            </w:rPr>
            <w:fldChar w:fldCharType="begin"/>
          </w:r>
          <w:r w:rsidR="00CC1871" w:rsidRPr="00C92B53">
            <w:rPr>
              <w:highlight w:val="red"/>
            </w:rPr>
            <w:instrText xml:space="preserve"> CITATION TuY08 \l 1033 </w:instrText>
          </w:r>
          <w:r w:rsidR="00CC1871" w:rsidRPr="00C92B53">
            <w:rPr>
              <w:highlight w:val="red"/>
            </w:rPr>
            <w:fldChar w:fldCharType="separate"/>
          </w:r>
          <w:r w:rsidR="00CC1871" w:rsidRPr="00C92B53">
            <w:rPr>
              <w:noProof/>
              <w:highlight w:val="red"/>
            </w:rPr>
            <w:t>[46]</w:t>
          </w:r>
          <w:r w:rsidR="00CC1871" w:rsidRPr="00C92B53">
            <w:rPr>
              <w:highlight w:val="red"/>
            </w:rPr>
            <w:fldChar w:fldCharType="end"/>
          </w:r>
        </w:sdtContent>
      </w:sdt>
      <w:r w:rsidR="00CC1871" w:rsidRPr="00C92B53">
        <w:rPr>
          <w:highlight w:val="red"/>
        </w:rPr>
        <w:t xml:space="preserve">. </w:t>
      </w:r>
      <w:r w:rsidR="005D1C7B" w:rsidRPr="00C92B53">
        <w:rPr>
          <w:highlight w:val="red"/>
        </w:rPr>
        <w:t xml:space="preserve">A way </w:t>
      </w:r>
      <w:r w:rsidR="000507E0" w:rsidRPr="00C92B53">
        <w:rPr>
          <w:highlight w:val="red"/>
        </w:rPr>
        <w:t xml:space="preserve">to extending </w:t>
      </w:r>
      <w:r w:rsidR="005107DD" w:rsidRPr="00C92B53">
        <w:rPr>
          <w:highlight w:val="red"/>
        </w:rPr>
        <w:t>the model</w:t>
      </w:r>
      <w:r w:rsidR="000507E0" w:rsidRPr="00C92B53">
        <w:rPr>
          <w:highlight w:val="red"/>
        </w:rPr>
        <w:t xml:space="preserve"> </w:t>
      </w:r>
      <w:r w:rsidR="005D1C7B" w:rsidRPr="00C92B53">
        <w:rPr>
          <w:highlight w:val="red"/>
        </w:rPr>
        <w:t>to a relative</w:t>
      </w:r>
      <w:r w:rsidR="005107DD" w:rsidRPr="00C92B53">
        <w:rPr>
          <w:highlight w:val="red"/>
        </w:rPr>
        <w:t xml:space="preserve"> time</w:t>
      </w:r>
      <w:r w:rsidR="005D1C7B" w:rsidRPr="00C92B53">
        <w:rPr>
          <w:highlight w:val="red"/>
        </w:rPr>
        <w:t xml:space="preserve"> rate of change of the fractional amount of receptor (protein) bound is</w:t>
      </w:r>
      <w:r w:rsidR="00A54C5C" w:rsidRPr="00C92B53">
        <w:rPr>
          <w:highlight w:val="red"/>
        </w:rPr>
        <w:t xml:space="preserve"> using the identity</w:t>
      </w:r>
      <w:r w:rsidR="005D1C7B" w:rsidRPr="00C92B53">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92B53" w14:paraId="52A1FE4B" w14:textId="77777777" w:rsidTr="005D1C7B">
        <w:trPr>
          <w:trHeight w:val="671"/>
        </w:trPr>
        <w:tc>
          <w:tcPr>
            <w:tcW w:w="8647" w:type="dxa"/>
          </w:tcPr>
          <w:p w14:paraId="411463B1" w14:textId="006A8ECD" w:rsidR="004F1F73" w:rsidRPr="00C92B53" w:rsidRDefault="00000000" w:rsidP="00B73499">
            <w:pPr>
              <w:jc w:val="center"/>
              <w:rPr>
                <w:highlight w:val="red"/>
              </w:rPr>
            </w:pPr>
            <m:oMathPara>
              <m:oMath>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m:t>
                </m:r>
                <m:f>
                  <m:fPr>
                    <m:ctrlPr>
                      <w:rPr>
                        <w:rFonts w:ascii="Cambria Math" w:hAnsi="Cambria Math"/>
                        <w:i/>
                        <w:highlight w:val="red"/>
                      </w:rPr>
                    </m:ctrlPr>
                  </m:fPr>
                  <m:num>
                    <m:r>
                      <w:rPr>
                        <w:rFonts w:ascii="Cambria Math" w:hAnsi="Cambria Math"/>
                        <w:highlight w:val="red"/>
                      </w:rPr>
                      <m:t>d</m:t>
                    </m:r>
                  </m:num>
                  <m:den>
                    <m:r>
                      <w:rPr>
                        <w:rFonts w:ascii="Cambria Math" w:hAnsi="Cambria Math"/>
                        <w:highlight w:val="red"/>
                      </w:rPr>
                      <m:t>dt</m:t>
                    </m:r>
                  </m:den>
                </m:f>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oMath>
            </m:oMathPara>
          </w:p>
        </w:tc>
        <w:tc>
          <w:tcPr>
            <w:tcW w:w="679" w:type="dxa"/>
          </w:tcPr>
          <w:p w14:paraId="46414FDF" w14:textId="77777777" w:rsidR="004F1F73" w:rsidRPr="00C92B53" w:rsidRDefault="004F1F73" w:rsidP="00601BC1">
            <w:pPr>
              <w:spacing w:before="120"/>
              <w:rPr>
                <w:highlight w:val="red"/>
              </w:rPr>
            </w:pPr>
            <w:r w:rsidRPr="00C92B53">
              <w:rPr>
                <w:highlight w:val="red"/>
              </w:rPr>
              <w:t>(22)</w:t>
            </w:r>
          </w:p>
        </w:tc>
      </w:tr>
    </w:tbl>
    <w:p w14:paraId="015A9390" w14:textId="77777777" w:rsidR="00CC1871" w:rsidRDefault="00A54C5C" w:rsidP="00B73499">
      <w:r w:rsidRPr="00C92B53">
        <w:rPr>
          <w:highlight w:val="red"/>
        </w:rPr>
        <w:t xml:space="preserve">From this identity </w:t>
      </w:r>
      <w:r w:rsidR="00CC1871" w:rsidRPr="00C92B53">
        <w:rPr>
          <w:highlight w:val="red"/>
        </w:rPr>
        <w:t>if we assume</w:t>
      </w:r>
      <w:r w:rsidRPr="00C92B53">
        <w:rPr>
          <w:highlight w:val="red"/>
        </w:rPr>
        <w:t xml:space="preserve"> a </w:t>
      </w:r>
      <w:r w:rsidRPr="00C92B53">
        <w:rPr>
          <w:highlight w:val="red"/>
        </w:rPr>
        <w:t>phenomenological</w:t>
      </w:r>
      <w:r w:rsidRPr="00C92B53">
        <w:rPr>
          <w:highlight w:val="red"/>
        </w:rPr>
        <w:t xml:space="preserve"> </w:t>
      </w:r>
      <w:r w:rsidRPr="00C92B53">
        <w:rPr>
          <w:highlight w:val="red"/>
        </w:rPr>
        <w:t>ansatz</w:t>
      </w:r>
      <w:r w:rsidRPr="00C92B53">
        <w:rPr>
          <w:highlight w:val="red"/>
        </w:rPr>
        <w:t xml:space="preserve"> that </w:t>
      </w:r>
      <m:oMath>
        <m:r>
          <w:rPr>
            <w:rFonts w:ascii="Cambria Math" w:hAnsi="Cambria Math"/>
            <w:highlight w:val="red"/>
          </w:rPr>
          <m:t>α</m:t>
        </m:r>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⟹α</m:t>
        </m:r>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oMath>
      <w:r w:rsidR="00D656C7" w:rsidRPr="00C92B53">
        <w:rPr>
          <w:highlight w:val="red"/>
        </w:rPr>
        <w:t xml:space="preserve">. </w:t>
      </w:r>
      <w:r w:rsidR="00CC1871" w:rsidRPr="00C92B53">
        <w:rPr>
          <w:highlight w:val="red"/>
        </w:rPr>
        <w:t>T</w:t>
      </w:r>
      <w:r w:rsidR="00CC1871" w:rsidRPr="00C92B53">
        <w:rPr>
          <w:highlight w:val="red"/>
        </w:rPr>
        <w:t xml:space="preserve">he </w:t>
      </w:r>
      <w:r w:rsidR="00CC1871" w:rsidRPr="00C92B53">
        <w:rPr>
          <w:highlight w:val="red"/>
        </w:rPr>
        <w:t>assumption</w:t>
      </w:r>
      <w:r w:rsidR="00CC1871" w:rsidRPr="00C92B53">
        <w:rPr>
          <w:highlight w:val="red"/>
        </w:rPr>
        <w:t xml:space="preserve"> naturally converges to the same FCD mathemati</w:t>
      </w:r>
      <w:r w:rsidR="00CC1871" w:rsidRPr="00C92B53">
        <w:rPr>
          <w:highlight w:val="red"/>
        </w:rPr>
        <w:t xml:space="preserve">cal form for receptors </w:t>
      </w:r>
      <w:sdt>
        <w:sdtPr>
          <w:rPr>
            <w:highlight w:val="red"/>
          </w:rPr>
          <w:id w:val="237909863"/>
          <w:citation/>
        </w:sdtPr>
        <w:sdtContent>
          <w:r w:rsidR="00CC1871" w:rsidRPr="00C92B53">
            <w:rPr>
              <w:highlight w:val="red"/>
            </w:rPr>
            <w:fldChar w:fldCharType="begin"/>
          </w:r>
          <w:r w:rsidR="00CC1871" w:rsidRPr="00C92B53">
            <w:rPr>
              <w:highlight w:val="red"/>
            </w:rPr>
            <w:instrText xml:space="preserve">CITATION Gor09 \m Laz11 \l 1033 </w:instrText>
          </w:r>
          <w:r w:rsidR="00CC1871" w:rsidRPr="00C92B53">
            <w:rPr>
              <w:highlight w:val="red"/>
            </w:rPr>
            <w:fldChar w:fldCharType="separate"/>
          </w:r>
          <w:r w:rsidR="00CC1871" w:rsidRPr="00C92B53">
            <w:rPr>
              <w:noProof/>
              <w:highlight w:val="red"/>
            </w:rPr>
            <w:t>[47, 48]</w:t>
          </w:r>
          <w:r w:rsidR="00CC1871" w:rsidRPr="00C92B53">
            <w:rPr>
              <w:highlight w:val="red"/>
            </w:rPr>
            <w:fldChar w:fldCharType="end"/>
          </w:r>
        </w:sdtContent>
      </w:sdt>
      <w:r w:rsidR="00CC1871" w:rsidRPr="00C92B53">
        <w:rPr>
          <w:highlight w:val="red"/>
        </w:rPr>
        <w:t>.</w:t>
      </w:r>
    </w:p>
    <w:p w14:paraId="73CA0C47" w14:textId="68B4EFC8" w:rsidR="00516DFF" w:rsidRDefault="000507E0" w:rsidP="00CC1871">
      <w:pPr>
        <w:ind w:firstLine="720"/>
      </w:pPr>
      <w:r w:rsidRPr="00B625CC">
        <w:t>If Methylation (</w:t>
      </w:r>
      <w:proofErr w:type="spellStart"/>
      <w:r w:rsidRPr="00B625CC">
        <w:t>CheR</w:t>
      </w:r>
      <w:proofErr w:type="spellEnd"/>
      <w:r w:rsidRPr="00B625CC">
        <w:t>/</w:t>
      </w:r>
      <w:proofErr w:type="spellStart"/>
      <w:r w:rsidRPr="00B625CC">
        <w:t>CheB</w:t>
      </w:r>
      <w:proofErr w:type="spellEnd"/>
      <w:r w:rsidRPr="00B625CC">
        <w:t xml:space="preserve">) works on receptor activity to bring it back toward an adapted value </w:t>
      </w:r>
      <w:sdt>
        <w:sdtPr>
          <w:id w:val="838045438"/>
          <w:citation/>
        </w:sdtPr>
        <w:sdtContent>
          <w:r w:rsidRPr="00B625CC">
            <w:fldChar w:fldCharType="begin"/>
          </w:r>
          <w:r w:rsidRPr="00B625CC">
            <w:rPr>
              <w:lang w:val="en-CA"/>
            </w:rPr>
            <w:instrText xml:space="preserve"> CITATION Liu21 \l 4105  \m Mic17 \m Liu19</w:instrText>
          </w:r>
          <w:r w:rsidRPr="00B625CC">
            <w:fldChar w:fldCharType="separate"/>
          </w:r>
          <w:r w:rsidR="005358A6" w:rsidRPr="00B625CC">
            <w:rPr>
              <w:noProof/>
              <w:lang w:val="en-CA"/>
            </w:rPr>
            <w:t>[1, 2, 21]</w:t>
          </w:r>
          <w:r w:rsidRPr="00B625CC">
            <w:fldChar w:fldCharType="end"/>
          </w:r>
        </w:sdtContent>
      </w:sdt>
      <w:r w:rsidRPr="00B625CC">
        <w:t xml:space="preserve">, then </w:t>
      </w:r>
      <m:oMath>
        <m:r>
          <w:rPr>
            <w:rFonts w:ascii="Cambria Math" w:hAnsi="Cambria Math"/>
          </w:rPr>
          <m:t>α</m:t>
        </m:r>
      </m:oMath>
      <w:r w:rsidRPr="00B625CC">
        <w:t xml:space="preserve"> </w:t>
      </w:r>
      <w:r w:rsidR="00516DFF">
        <w:t xml:space="preserve">is a placeholder for a coarse grain model that avoids describing </w:t>
      </w:r>
      <w:r w:rsidR="00516DFF" w:rsidRPr="00B625CC">
        <w:t>the feedback from methylation</w:t>
      </w:r>
      <w:r w:rsidR="00516DFF">
        <w:t xml:space="preserve"> </w:t>
      </w:r>
      <w:sdt>
        <w:sdtPr>
          <w:id w:val="-785888640"/>
          <w:citation/>
        </w:sdtPr>
        <w:sdtContent>
          <w:r w:rsidR="00516DFF" w:rsidRPr="00B625CC">
            <w:fldChar w:fldCharType="begin"/>
          </w:r>
          <w:r w:rsidR="00516DFF" w:rsidRPr="00B625CC">
            <w:instrText xml:space="preserve"> CITATION Laz11 \l 1033 </w:instrText>
          </w:r>
          <w:r w:rsidR="00516DFF" w:rsidRPr="00B625CC">
            <w:fldChar w:fldCharType="separate"/>
          </w:r>
          <w:r w:rsidR="00516DFF" w:rsidRPr="00B625CC">
            <w:rPr>
              <w:noProof/>
            </w:rPr>
            <w:t>[48]</w:t>
          </w:r>
          <w:r w:rsidR="00516DFF" w:rsidRPr="00B625CC">
            <w:fldChar w:fldCharType="end"/>
          </w:r>
        </w:sdtContent>
      </w:sdt>
      <w:r w:rsidR="00516DFF" w:rsidRPr="00B625CC">
        <w:t>.</w:t>
      </w:r>
      <w:r w:rsidR="00516DFF">
        <w:t xml:space="preserve"> It acts as </w:t>
      </w:r>
      <w:r w:rsidRPr="00B625CC">
        <w:t xml:space="preserve">a nonlinear </w:t>
      </w:r>
      <w:r w:rsidR="009324BF" w:rsidRPr="00B625CC">
        <w:t>gain</w:t>
      </w:r>
      <w:r w:rsidRPr="00B625CC">
        <w:t xml:space="preserve"> that rescales</w:t>
      </w:r>
      <w:r w:rsidR="009324BF" w:rsidRPr="00B625CC">
        <w:t xml:space="preserve"> </w:t>
      </w:r>
      <w:r w:rsidRPr="00B625CC">
        <w:t xml:space="preserve">how sensitive </w:t>
      </w:r>
      <w:r w:rsidR="009D795B" w:rsidRPr="00B625CC">
        <w:t xml:space="preserve">the bacterial system adapts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9D795B" w:rsidRPr="00B625CC">
        <w:t>.</w:t>
      </w:r>
      <w:r w:rsidR="00773278" w:rsidRPr="00B625CC">
        <w:t xml:space="preserve"> </w:t>
      </w:r>
      <w:r w:rsidRPr="00B625CC">
        <w:t xml:space="preserve">At low </w:t>
      </w:r>
      <w:r w:rsidR="009E3C33">
        <w:t xml:space="preserve">food </w:t>
      </w:r>
      <w:r w:rsidRPr="00B625CC">
        <w:t xml:space="preserve">gradients </w:t>
      </w:r>
      <w:r w:rsidR="009E3C33">
        <w:t xml:space="preserve">there are </w:t>
      </w:r>
      <w:r w:rsidR="009324BF" w:rsidRPr="00B625CC">
        <w:t xml:space="preserve">slow changes in receptor occupancy </w:t>
      </w:r>
      <w:r w:rsidR="009E3C33">
        <w:t>so</w:t>
      </w:r>
      <w:r w:rsidRPr="00B625CC">
        <w:t xml:space="preserve"> </w:t>
      </w:r>
      <m:oMath>
        <m:r>
          <w:rPr>
            <w:rFonts w:ascii="Cambria Math" w:hAnsi="Cambria Math"/>
          </w:rPr>
          <m:t>α</m:t>
        </m:r>
      </m:oMath>
      <w:r w:rsidRPr="00B625CC">
        <w:t xml:space="preserve"> represents a</w:t>
      </w:r>
      <w:r w:rsidR="009E3C33">
        <w:t xml:space="preserve"> </w:t>
      </w:r>
      <w:r w:rsidR="006D6626" w:rsidRPr="00B625CC">
        <w:t xml:space="preserve">high-gain </w:t>
      </w:r>
      <w:r w:rsidR="009E3C33">
        <w:t xml:space="preserve">filter </w:t>
      </w:r>
      <w:r w:rsidR="005437AF" w:rsidRPr="00B625CC">
        <w:t>that</w:t>
      </w:r>
      <w:r w:rsidRPr="00B625CC">
        <w:t xml:space="preserve"> amplif</w:t>
      </w:r>
      <w:r w:rsidR="005437AF" w:rsidRPr="00B625CC">
        <w:t>ies</w:t>
      </w:r>
      <w:r w:rsidRPr="00B625CC">
        <w:t xml:space="preserve"> </w:t>
      </w:r>
      <w:r w:rsidR="005437AF" w:rsidRPr="00B625CC">
        <w:t>low-rate receptor</w:t>
      </w:r>
      <w:r w:rsidR="007F04E0" w:rsidRPr="00B625CC">
        <w:t xml:space="preserve"> protein binding </w:t>
      </w:r>
      <w:r w:rsidRPr="00B625CC">
        <w:lastRenderedPageBreak/>
        <w:t>signals. In steep gradients</w:t>
      </w:r>
      <w:r w:rsidR="0064289B" w:rsidRPr="00B625CC">
        <w:t xml:space="preserve"> </w:t>
      </w:r>
      <w:r w:rsidRPr="00B625CC">
        <w:t>the</w:t>
      </w:r>
      <w:r w:rsidR="009E3C33">
        <w:t>re are</w:t>
      </w:r>
      <w:r w:rsidRPr="00B625CC">
        <w:t xml:space="preserve"> rapid changes i</w:t>
      </w:r>
      <w:r w:rsidR="009324BF" w:rsidRPr="00B625CC">
        <w:t xml:space="preserve">n receptor occupancy </w:t>
      </w:r>
      <w:r w:rsidRPr="00B625CC">
        <w:t xml:space="preserve">so </w:t>
      </w:r>
      <m:oMath>
        <m:r>
          <w:rPr>
            <w:rFonts w:ascii="Cambria Math" w:hAnsi="Cambria Math"/>
          </w:rPr>
          <m:t>α</m:t>
        </m:r>
      </m:oMath>
      <w:r w:rsidRPr="00B625CC">
        <w:t xml:space="preserve"> </w:t>
      </w:r>
      <w:r w:rsidR="007F04E0" w:rsidRPr="00B625CC">
        <w:t>represents</w:t>
      </w:r>
      <w:r w:rsidR="005437AF" w:rsidRPr="00B625CC">
        <w:t xml:space="preserve"> a nonlinear low-gain filter</w:t>
      </w:r>
      <w:r w:rsidRPr="00B625CC">
        <w:t xml:space="preserve"> to </w:t>
      </w:r>
      <w:r w:rsidR="007F04E0" w:rsidRPr="00B625CC">
        <w:t>a</w:t>
      </w:r>
      <w:r w:rsidR="005437AF" w:rsidRPr="00B625CC">
        <w:t>ttenuat</w:t>
      </w:r>
      <w:r w:rsidR="009E3C33">
        <w:t>e</w:t>
      </w:r>
      <w:r w:rsidR="007F04E0" w:rsidRPr="00B625CC">
        <w:t xml:space="preserve"> high-rate receptor protein binding signals. </w:t>
      </w:r>
      <w:r w:rsidR="00E344B2" w:rsidRPr="00B625CC">
        <w:t xml:space="preserve">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w:t>
      </w:r>
      <w:r w:rsidR="00C92B53">
        <w:t>timed rate of change of receptor protein bound</w:t>
      </w:r>
      <w:r w:rsidR="00E344B2" w:rsidRPr="00B625CC">
        <w:t xml:space="preserve">.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While the methylation model is more complex,</w:t>
      </w:r>
      <w:r w:rsidR="009E3C33">
        <w:t xml:space="preserve"> </w:t>
      </w:r>
      <w:r w:rsidR="009E3C33" w:rsidRPr="00B625CC">
        <w:t>simplifying the biological mechanisms</w:t>
      </w:r>
      <w:r w:rsidR="009E3C33">
        <w:t xml:space="preserve"> by</w:t>
      </w:r>
      <w:r w:rsidR="00E344B2" w:rsidRPr="00B625CC">
        <w:t xml:space="preserve"> </w:t>
      </w:r>
      <w:r w:rsidR="009D795B" w:rsidRPr="00B625CC">
        <w:t xml:space="preserve">fitting </w:t>
      </w:r>
      <w:r w:rsidR="009E3C33" w:rsidRPr="00A54C5C">
        <w:t>phenomenological</w:t>
      </w:r>
      <w:r w:rsidR="009E3C33">
        <w:t xml:space="preserve"> </w:t>
      </w:r>
      <w:r w:rsidR="009D795B" w:rsidRPr="00B625CC">
        <w:t xml:space="preserve">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E3C33" w:rsidRPr="00B625CC">
        <w:t>help</w:t>
      </w:r>
      <w:r w:rsidR="009D795B" w:rsidRPr="00B625CC">
        <w:t xml:space="preserve"> to provide accurate tumble times to replicate the theoretical drift velocity</w:t>
      </w:r>
      <w:r w:rsidR="009E3C33">
        <w:t xml:space="preserve"> </w:t>
      </w:r>
      <w:r w:rsidR="009E3C33" w:rsidRPr="00B625CC">
        <w:t>in steep gradients</w:t>
      </w:r>
      <w:r w:rsidR="009D795B" w:rsidRPr="00B625CC">
        <w:t xml:space="preserve"> per deme and </w:t>
      </w:r>
      <w:r w:rsidR="006A540E" w:rsidRPr="00B625CC">
        <w:t>prevent</w:t>
      </w:r>
      <w:r w:rsidR="009D795B" w:rsidRPr="00B625CC">
        <w:t>s</w:t>
      </w:r>
      <w:r w:rsidR="006A540E" w:rsidRPr="00B625CC">
        <w:t xml:space="preserve"> adaptation </w:t>
      </w:r>
      <w:r w:rsidR="00981BAD" w:rsidRPr="00B625CC">
        <w:t>collapse</w:t>
      </w:r>
      <w:r w:rsidR="009E3C33">
        <w:t xml:space="preserve"> </w:t>
      </w:r>
      <w:sdt>
        <w:sdtPr>
          <w:id w:val="633527144"/>
          <w:citation/>
        </w:sdtPr>
        <w:sdtContent>
          <w:r w:rsidR="009E3C33" w:rsidRPr="00B625CC">
            <w:fldChar w:fldCharType="begin"/>
          </w:r>
          <w:r w:rsidR="009E3C33" w:rsidRPr="00B625CC">
            <w:instrText xml:space="preserve"> CITATION Mic17 \l 1033  \m SiG12</w:instrText>
          </w:r>
          <w:r w:rsidR="009E3C33" w:rsidRPr="00B625CC">
            <w:fldChar w:fldCharType="separate"/>
          </w:r>
          <w:r w:rsidR="009E3C33" w:rsidRPr="00B625CC">
            <w:rPr>
              <w:noProof/>
            </w:rPr>
            <w:t>[2, 6]</w:t>
          </w:r>
          <w:r w:rsidR="009E3C33" w:rsidRPr="00B625CC">
            <w:fldChar w:fldCharType="end"/>
          </w:r>
        </w:sdtContent>
      </w:sdt>
      <w:r w:rsidR="006A540E" w:rsidRPr="00B625CC">
        <w:t xml:space="preserve">. </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3EF40F91" w:rsidR="00270622" w:rsidRPr="00B625CC" w:rsidRDefault="00270622" w:rsidP="004A5BF5">
            <w:pPr>
              <w:spacing w:before="120"/>
            </w:pPr>
            <w:r w:rsidRPr="00B625CC">
              <w:t>(2</w:t>
            </w:r>
            <w:r w:rsidR="00CC1871">
              <w:t>3</w:t>
            </w:r>
            <w:r w:rsidRPr="00B625CC">
              <w:t>)</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highlight w:val="red"/>
                  </w:rPr>
                  <m:t>=</m:t>
                </m:r>
                <m:sSup>
                  <m:sSupPr>
                    <m:ctrlPr>
                      <w:rPr>
                        <w:rFonts w:ascii="Cambria Math" w:hAnsi="Cambria Math"/>
                        <w:i/>
                        <w:highlight w:val="red"/>
                      </w:rPr>
                    </m:ctrlPr>
                  </m:sSupPr>
                  <m:e>
                    <m:r>
                      <w:rPr>
                        <w:rFonts w:ascii="Cambria Math" w:hAnsi="Cambria Math"/>
                        <w:highlight w:val="red"/>
                      </w:rPr>
                      <m:t>k</m:t>
                    </m:r>
                  </m:e>
                  <m:sup>
                    <m:r>
                      <w:rPr>
                        <w:rFonts w:ascii="Cambria Math" w:hAnsi="Cambria Math"/>
                        <w:highlight w:val="red"/>
                      </w:rPr>
                      <m:t>'</m:t>
                    </m:r>
                  </m:sup>
                </m:sSup>
                <m:f>
                  <m:fPr>
                    <m:ctrlPr>
                      <w:rPr>
                        <w:rFonts w:ascii="Cambria Math" w:hAnsi="Cambria Math"/>
                        <w:i/>
                        <w:highlight w:val="red"/>
                      </w:rPr>
                    </m:ctrlPr>
                  </m:fPr>
                  <m:num>
                    <m:r>
                      <w:rPr>
                        <w:rFonts w:ascii="Cambria Math" w:hAnsi="Cambria Math"/>
                        <w:highlight w:val="red"/>
                      </w:rPr>
                      <m:t>d</m:t>
                    </m:r>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num>
                  <m:den>
                    <m:r>
                      <w:rPr>
                        <w:rFonts w:ascii="Cambria Math" w:hAnsi="Cambria Math"/>
                        <w:highlight w:val="red"/>
                      </w:rPr>
                      <m:t>dt</m:t>
                    </m:r>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o</m:t>
                    </m:r>
                  </m:sub>
                </m:sSub>
                <m:d>
                  <m:dPr>
                    <m:ctrlPr>
                      <w:rPr>
                        <w:rFonts w:ascii="Cambria Math" w:hAnsi="Cambria Math"/>
                        <w:i/>
                        <w:highlight w:val="red"/>
                      </w:rPr>
                    </m:ctrlPr>
                  </m:dPr>
                  <m:e>
                    <m:r>
                      <w:rPr>
                        <w:rFonts w:ascii="Cambria Math" w:hAnsi="Cambria Math"/>
                        <w:highlight w:val="red"/>
                      </w:rPr>
                      <m:t>α</m:t>
                    </m:r>
                  </m:e>
                </m:d>
              </m:oMath>
            </m:oMathPara>
          </w:p>
        </w:tc>
        <w:tc>
          <w:tcPr>
            <w:tcW w:w="679" w:type="dxa"/>
          </w:tcPr>
          <w:p w14:paraId="3C38857F" w14:textId="5DB7A0B7" w:rsidR="00270622" w:rsidRPr="00B625CC" w:rsidRDefault="00270622" w:rsidP="00C92B53">
            <w:pPr>
              <w:spacing w:before="120"/>
            </w:pPr>
            <w:r w:rsidRPr="00B625CC">
              <w:t>(2</w:t>
            </w:r>
            <w:r w:rsidR="00CC1871">
              <w:t>4</w:t>
            </w:r>
            <w:r w:rsidRPr="00B625CC">
              <w:t>)</w:t>
            </w:r>
          </w:p>
        </w:tc>
      </w:tr>
    </w:tbl>
    <w:p w14:paraId="150CB842" w14:textId="5D5B1DBA"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754AB7">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50DED151" w:rsidR="00912FEE" w:rsidRPr="00230A35" w:rsidRDefault="002C454F" w:rsidP="00B73499">
      <w:pPr>
        <w:rPr>
          <w:lang w:val="en-CA"/>
        </w:rPr>
      </w:pPr>
      <w:r w:rsidRPr="00B625CC">
        <w:lastRenderedPageBreak/>
        <w:br/>
      </w:r>
      <w:r w:rsidR="002515C8" w:rsidRPr="002515C8">
        <w:rPr>
          <w:noProof/>
          <w:lang w:val="en-CA"/>
        </w:rPr>
        <w:drawing>
          <wp:inline distT="0" distB="0" distL="0" distR="0" wp14:anchorId="34B467D5" wp14:editId="0F10F702">
            <wp:extent cx="5943600" cy="2954655"/>
            <wp:effectExtent l="0" t="0" r="0" b="0"/>
            <wp:docPr id="526909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4655"/>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08684"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370E2E">
        <w:t xml:space="preserve">, </w:t>
      </w:r>
      <w:r w:rsidR="00F24725" w:rsidRPr="00B625CC">
        <w:t xml:space="preserve">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370E2E">
        <w:t>, and Fitted Slope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370E2E">
        <w:t>)</w:t>
      </w:r>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2EFE05B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w:t>
      </w:r>
      <w:r w:rsidR="00D552DF">
        <w:t xml:space="preserve">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5CAD579-9E76-4A4A-8E4D-768739DEBD07}"/>
    <w:embedItalic r:id="rId2" w:fontKey="{C756D8C6-FE1D-46D8-9493-3BA94B5ECDC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FEF0FF66-D46E-4B49-AA73-FFA1C797C239}"/>
  </w:font>
  <w:font w:name="Georgia">
    <w:panose1 w:val="02040502050405020303"/>
    <w:charset w:val="00"/>
    <w:family w:val="roman"/>
    <w:pitch w:val="variable"/>
    <w:sig w:usb0="00000287" w:usb1="00000000" w:usb2="00000000" w:usb3="00000000" w:csb0="0000009F" w:csb1="00000000"/>
    <w:embedRegular r:id="rId4" w:fontKey="{969CA602-95A2-43C7-A28A-D8D8C2842766}"/>
    <w:embedItalic r:id="rId5" w:fontKey="{4E32235D-DADC-4DBB-99CC-C9C26A3F8C9E}"/>
  </w:font>
  <w:font w:name="Cambria Math">
    <w:panose1 w:val="02040503050406030204"/>
    <w:charset w:val="00"/>
    <w:family w:val="roman"/>
    <w:pitch w:val="variable"/>
    <w:sig w:usb0="E00006FF" w:usb1="420024FF" w:usb2="02000000" w:usb3="00000000" w:csb0="0000019F" w:csb1="00000000"/>
    <w:embedRegular r:id="rId6" w:fontKey="{D1581589-4B84-4E65-AE9E-2AC83741BCC4}"/>
    <w:embedItalic r:id="rId7" w:fontKey="{D9A13ECC-8251-4FA3-8FF9-B5BB28C5482F}"/>
    <w:embedBoldItalic r:id="rId8" w:fontKey="{A5C2E3F6-A2CE-4864-81EB-0499EAF6B041}"/>
  </w:font>
  <w:font w:name="Cambria">
    <w:panose1 w:val="02040503050406030204"/>
    <w:charset w:val="00"/>
    <w:family w:val="roman"/>
    <w:pitch w:val="variable"/>
    <w:sig w:usb0="E00006FF" w:usb1="420024FF" w:usb2="02000000" w:usb3="00000000" w:csb0="0000019F" w:csb1="00000000"/>
    <w:embedRegular r:id="rId9" w:fontKey="{4CCBE5AA-BC19-4A33-95D4-B81BCA2F9E6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3A89"/>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2102"/>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6874"/>
    <w:rsid w:val="00237CC6"/>
    <w:rsid w:val="00241241"/>
    <w:rsid w:val="00244749"/>
    <w:rsid w:val="002465A8"/>
    <w:rsid w:val="00250096"/>
    <w:rsid w:val="002515C8"/>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2AF0"/>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3038"/>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0E2E"/>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4705"/>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1A5"/>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5BF5"/>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2E8E"/>
    <w:rsid w:val="004F4C4D"/>
    <w:rsid w:val="004F6C2E"/>
    <w:rsid w:val="00503601"/>
    <w:rsid w:val="005051AF"/>
    <w:rsid w:val="00505790"/>
    <w:rsid w:val="00506206"/>
    <w:rsid w:val="00506274"/>
    <w:rsid w:val="00506485"/>
    <w:rsid w:val="00507115"/>
    <w:rsid w:val="0050798D"/>
    <w:rsid w:val="005107DD"/>
    <w:rsid w:val="005116F8"/>
    <w:rsid w:val="005159E2"/>
    <w:rsid w:val="00516DFF"/>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1EC2"/>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4AB7"/>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C33"/>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4C5C"/>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B53"/>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871"/>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6309"/>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52DF"/>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97894"/>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3FC"/>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027408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074149">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226072">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26</Pages>
  <Words>11290</Words>
  <Characters>64357</Characters>
  <Application>Microsoft Office Word</Application>
  <DocSecurity>0</DocSecurity>
  <Lines>536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32</cp:revision>
  <dcterms:created xsi:type="dcterms:W3CDTF">2026-08-14T18:37:00Z</dcterms:created>
  <dcterms:modified xsi:type="dcterms:W3CDTF">2026-08-18T16:08:00Z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