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C2DBA97"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known</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43653A">
            <w:rPr>
              <w:noProof/>
            </w:rPr>
            <w:t>[34]</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 xml:space="preserve">The centered regression method removes the intercept bias to </w:t>
      </w:r>
      <w:r w:rsidR="007863E6">
        <w:lastRenderedPageBreak/>
        <w:t>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4CAAEDF9" w:rsidR="0036145C" w:rsidRPr="002B0330"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its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27276756"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6C521C" w14:paraId="18FA5EA5" w14:textId="77777777" w:rsidTr="00494C94">
        <w:tc>
          <w:tcPr>
            <w:tcW w:w="8647" w:type="dxa"/>
          </w:tcPr>
          <w:bookmarkStart w:id="25" w:name="_Hlk216115714"/>
          <w:p w14:paraId="5AD9CF39" w14:textId="0B6B0469" w:rsidR="00083F0E" w:rsidRPr="006C521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6"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6"/>
                                    <m:r>
                                      <w:rPr>
                                        <w:rFonts w:ascii="Cambria Math" w:hAnsi="Cambria Math"/>
                                      </w:rPr>
                                      <m:t>,</m:t>
                                    </m:r>
                                  </m:e>
                                  <m:e>
                                    <m:r>
                                      <w:rPr>
                                        <w:rFonts w:ascii="Cambria Math" w:hAnsi="Cambria Math"/>
                                      </w:rPr>
                                      <m:t>(High Noise)</m:t>
                                    </m:r>
                                  </m:e>
                                </m:mr>
                              </m:m>
                            </m:e>
                          </m:mr>
                        </m:m>
                      </m:e>
                    </m:eqArr>
                  </m:e>
                </m:d>
              </m:oMath>
            </m:oMathPara>
            <w:bookmarkEnd w:id="25"/>
          </w:p>
        </w:tc>
        <w:tc>
          <w:tcPr>
            <w:tcW w:w="679" w:type="dxa"/>
          </w:tcPr>
          <w:p w14:paraId="70EFAE3F" w14:textId="77777777" w:rsidR="00083F0E" w:rsidRPr="006C521C" w:rsidRDefault="00083F0E" w:rsidP="00494C94"/>
          <w:p w14:paraId="35FCA059" w14:textId="77777777" w:rsidR="00083F0E" w:rsidRPr="006C521C" w:rsidRDefault="00083F0E" w:rsidP="00494C94"/>
          <w:p w14:paraId="37A03ABE" w14:textId="77777777" w:rsidR="00083F0E" w:rsidRPr="006C521C" w:rsidRDefault="00083F0E" w:rsidP="00494C94">
            <w:r w:rsidRPr="006C521C">
              <w:t>(20)</w:t>
            </w:r>
          </w:p>
        </w:tc>
      </w:tr>
    </w:tbl>
    <w:p w14:paraId="072131B3" w14:textId="77777777" w:rsidR="0085025F" w:rsidRPr="006C521C" w:rsidRDefault="002B5BD0" w:rsidP="00EA5174">
      <w:pPr>
        <w:pStyle w:val="FirstParagraph"/>
        <w:rPr>
          <w:rFonts w:ascii="Times New Roman" w:hAnsi="Times New Roman" w:cs="Times New Roman"/>
        </w:rPr>
      </w:pPr>
      <w:r w:rsidRPr="006C521C">
        <w:rPr>
          <w:rFonts w:ascii="Times New Roman" w:hAnsi="Times New Roman" w:cs="Times New Roman"/>
        </w:rPr>
        <w:t>where</w:t>
      </w:r>
      <w:r w:rsidR="00083F0E" w:rsidRPr="006C521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6C521C">
        <w:rPr>
          <w:rFonts w:ascii="Times New Roman" w:hAnsi="Times New Roman" w:cs="Times New Roman"/>
        </w:rPr>
        <w:t xml:space="preserve"> is a constant to ensure contraction</w:t>
      </w:r>
      <w:r w:rsidR="00153491" w:rsidRPr="006C521C">
        <w:rPr>
          <w:rFonts w:ascii="Times New Roman" w:hAnsi="Times New Roman" w:cs="Times New Roman"/>
        </w:rPr>
        <w:t xml:space="preserve">, </w:t>
      </w:r>
      <m:oMath>
        <m:r>
          <w:rPr>
            <w:rFonts w:ascii="Cambria Math" w:hAnsi="Cambria Math" w:cs="Times New Roman"/>
          </w:rPr>
          <m:t>κ</m:t>
        </m:r>
      </m:oMath>
      <w:r w:rsidR="00153491" w:rsidRPr="006C521C">
        <w:rPr>
          <w:rFonts w:ascii="Times New Roman" w:hAnsi="Times New Roman" w:cs="Times New Roman"/>
        </w:rPr>
        <w:t xml:space="preserve"> is a small multiplier coefficient as an option to widen </w:t>
      </w:r>
      <w:r w:rsidR="00E2317D" w:rsidRPr="006C521C">
        <w:rPr>
          <w:rFonts w:ascii="Times New Roman" w:hAnsi="Times New Roman" w:cs="Times New Roman"/>
        </w:rPr>
        <w:t xml:space="preserve">confidence interval </w:t>
      </w:r>
      <w:r w:rsidR="00153491" w:rsidRPr="006C521C">
        <w:rPr>
          <w:rFonts w:ascii="Times New Roman" w:hAnsi="Times New Roman" w:cs="Times New Roman"/>
        </w:rPr>
        <w:t xml:space="preserve">tolerance </w:t>
      </w:r>
    </w:p>
    <w:p w14:paraId="005CE4E0" w14:textId="77777777" w:rsidR="0085025F" w:rsidRPr="006C521C" w:rsidRDefault="00153491" w:rsidP="00EA5174">
      <w:pPr>
        <w:pStyle w:val="FirstParagraph"/>
        <w:rPr>
          <w:rFonts w:ascii="Times New Roman" w:hAnsi="Times New Roman" w:cs="Times New Roman"/>
        </w:rPr>
      </w:pPr>
      <w:bookmarkStart w:id="27" w:name="_Hlk216115571"/>
      <w:r w:rsidRPr="006C521C">
        <w:rPr>
          <w:rFonts w:ascii="Times New Roman" w:hAnsi="Times New Roman" w:cs="Times New Roman"/>
          <w:highlight w:val="red"/>
        </w:rPr>
        <w:t xml:space="preserve">(based on the errors from Section 6, </w:t>
      </w:r>
      <m:oMath>
        <m:r>
          <w:rPr>
            <w:rFonts w:ascii="Cambria Math" w:hAnsi="Cambria Math" w:cs="Times New Roman"/>
            <w:highlight w:val="red"/>
          </w:rPr>
          <m:t>κ=</m:t>
        </m:r>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oMath>
      <w:r w:rsidR="002B5BD0" w:rsidRPr="006C521C">
        <w:rPr>
          <w:rFonts w:ascii="Times New Roman" w:hAnsi="Times New Roman" w:cs="Times New Roman"/>
          <w:highlight w:val="red"/>
        </w:rPr>
        <w:t xml:space="preserve"> </w:t>
      </w:r>
      <w:bookmarkEnd w:id="27"/>
      <w:r w:rsidRPr="006C521C">
        <w:rPr>
          <w:rFonts w:ascii="Times New Roman" w:hAnsi="Times New Roman" w:cs="Times New Roman"/>
          <w:highlight w:val="red"/>
        </w:rPr>
        <w:t xml:space="preserve">or </w:t>
      </w:r>
      <m:oMath>
        <m:r>
          <w:rPr>
            <w:rFonts w:ascii="Cambria Math" w:hAnsi="Cambria Math" w:cs="Times New Roman"/>
            <w:highlight w:val="red"/>
          </w:rPr>
          <m:t>κ=</m:t>
        </m:r>
        <m:f>
          <m:fPr>
            <m:ctrlPr>
              <w:rPr>
                <w:rFonts w:ascii="Cambria Math" w:hAnsi="Cambria Math" w:cs="Times New Roman"/>
                <w:i/>
                <w:highlight w:val="red"/>
              </w:rPr>
            </m:ctrlPr>
          </m:fPr>
          <m:num>
            <m:r>
              <w:rPr>
                <w:rFonts w:ascii="Cambria Math" w:hAnsi="Cambria Math" w:cs="Times New Roman"/>
                <w:highlight w:val="red"/>
              </w:rPr>
              <m:t>∆μ</m:t>
            </m:r>
          </m:num>
          <m:den>
            <m:r>
              <w:rPr>
                <w:rFonts w:ascii="Cambria Math" w:hAnsi="Cambria Math" w:cs="Times New Roman"/>
                <w:highlight w:val="red"/>
              </w:rPr>
              <m:t>∆α</m:t>
            </m:r>
          </m:den>
        </m:f>
      </m:oMath>
      <w:r w:rsidRPr="006C521C">
        <w:rPr>
          <w:rFonts w:ascii="Times New Roman" w:hAnsi="Times New Roman" w:cs="Times New Roman"/>
        </w:rPr>
        <w:t xml:space="preserve">), </w:t>
      </w:r>
      <w:r w:rsidR="002B5BD0" w:rsidRPr="006C521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2B5BD0" w:rsidRPr="006C521C">
        <w:rPr>
          <w:rFonts w:ascii="Times New Roman" w:hAnsi="Times New Roman" w:cs="Times New Roman"/>
        </w:rPr>
        <w:t xml:space="preserve"> is a scheduler-controlled learning rate decay</w:t>
      </w:r>
      <w:r w:rsidR="00083F0E" w:rsidRPr="006C521C">
        <w:rPr>
          <w:rFonts w:ascii="Times New Roman" w:hAnsi="Times New Roman" w:cs="Times New Roman"/>
        </w:rPr>
        <w:t xml:space="preserve">. </w:t>
      </w:r>
    </w:p>
    <w:p w14:paraId="504F62B8" w14:textId="51C41481" w:rsidR="006C521C" w:rsidRPr="006C521C" w:rsidRDefault="0085025F" w:rsidP="0085025F">
      <w:pPr>
        <w:pStyle w:val="BodyText"/>
      </w:pPr>
      <w:r w:rsidRPr="006C521C">
        <w:t>During the noise phase</w:t>
      </w:r>
      <w:r w:rsidR="00980AAE">
        <w:t xml:space="preserve"> when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oMath>
      <w:r w:rsidRPr="006C521C">
        <w:t xml:space="preserve">, the </w:t>
      </w:r>
      <w:r w:rsidR="00592780">
        <w:t xml:space="preserve">relationship between the </w:t>
      </w:r>
      <w:r w:rsidR="00592780">
        <w:t xml:space="preserve">noise bound region per iteration </w:t>
      </w:r>
      <m:oMath>
        <m:r>
          <w:rPr>
            <w:rFonts w:ascii="Cambria Math" w:hAnsi="Cambria Math"/>
          </w:rPr>
          <m:t>k</m:t>
        </m:r>
      </m:oMath>
      <w:r w:rsidR="00592780">
        <w:t xml:space="preserve"> </w:t>
      </w:r>
      <w:r w:rsidR="00592780">
        <w:t>and the</w:t>
      </w:r>
      <w:r w:rsidR="00592780" w:rsidRPr="006C521C">
        <w:t xml:space="preserve"> </w:t>
      </w:r>
      <w:r w:rsidRPr="006C521C">
        <w:t>max noise bounded region from Section 7 is</w:t>
      </w:r>
      <w:r w:rsidR="00592780">
        <w:t xml:space="preserve"> then</w:t>
      </w:r>
      <w:r w:rsidRPr="006C521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6C521C" w14:paraId="63471AB1" w14:textId="77777777" w:rsidTr="00FD3BAE">
        <w:tc>
          <w:tcPr>
            <w:tcW w:w="8647" w:type="dxa"/>
          </w:tcPr>
          <w:bookmarkStart w:id="28" w:name="_Hlk216113522"/>
          <w:p w14:paraId="3701EF46" w14:textId="6C5B858E" w:rsidR="0085025F" w:rsidRPr="006C521C" w:rsidRDefault="0059278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m:t>
                              </m:r>
                              <m:r>
                                <w:rPr>
                                  <w:rFonts w:ascii="Cambria Math" w:hAnsi="Cambria Math"/>
                                </w:rPr>
                                <m:t>&lt;1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m:t>
                              </m:r>
                              <m:r>
                                <w:rPr>
                                  <w:rFonts w:ascii="Cambria Math" w:hAnsi="Cambria Math"/>
                                </w:rPr>
                                <m:t>&lt;0.5</m:t>
                              </m:r>
                            </m:e>
                          </m:mr>
                        </m:m>
                      </m:e>
                    </m:eqArr>
                  </m:e>
                </m:d>
              </m:oMath>
            </m:oMathPara>
            <w:bookmarkEnd w:id="28"/>
          </w:p>
        </w:tc>
        <w:tc>
          <w:tcPr>
            <w:tcW w:w="679" w:type="dxa"/>
          </w:tcPr>
          <w:p w14:paraId="6045249C" w14:textId="77777777" w:rsidR="0085025F" w:rsidRPr="006C521C" w:rsidRDefault="0085025F" w:rsidP="00FD3BAE"/>
          <w:p w14:paraId="579A6477" w14:textId="77777777" w:rsidR="0085025F" w:rsidRPr="006C521C" w:rsidRDefault="0085025F" w:rsidP="00FD3BAE"/>
          <w:p w14:paraId="590D035E" w14:textId="2ADB9BC4" w:rsidR="0085025F" w:rsidRPr="006C521C" w:rsidRDefault="0085025F" w:rsidP="00FD3BAE">
            <w:r w:rsidRPr="006C521C">
              <w:t>(2</w:t>
            </w:r>
            <w:r w:rsidRPr="006C521C">
              <w:t>1</w:t>
            </w:r>
            <w:r w:rsidRPr="006C521C">
              <w:t>)</w:t>
            </w:r>
          </w:p>
        </w:tc>
      </w:tr>
    </w:tbl>
    <w:p w14:paraId="1FA0F6DD" w14:textId="77777777" w:rsidR="0085025F" w:rsidRPr="006C521C" w:rsidRDefault="0085025F" w:rsidP="0085025F">
      <w:pPr>
        <w:pStyle w:val="BodyText"/>
      </w:pPr>
    </w:p>
    <w:p w14:paraId="5A489EB3" w14:textId="520B6E2B" w:rsidR="00FF5E8D" w:rsidRPr="006C521C" w:rsidRDefault="00FF5E8D" w:rsidP="0085025F">
      <w:pPr>
        <w:pStyle w:val="BodyText"/>
      </w:pPr>
      <w:bookmarkStart w:id="29" w:name="_Hlk216115627"/>
      <w:r w:rsidRPr="006C521C">
        <w:t>Due to the linearity checks of Section 5 and during convergence</w:t>
      </w:r>
      <w:r w:rsidR="006C521C">
        <w:t xml:space="preserve"> </w:t>
      </w:r>
      <m:oMath>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r>
          <w:rPr>
            <w:rFonts w:ascii="Cambria Math" w:hAnsi="Cambria Math"/>
            <w:highlight w:val="yellow"/>
          </w:rPr>
          <m:t>≤</m:t>
        </m:r>
        <m:r>
          <w:rPr>
            <w:rFonts w:ascii="Cambria Math" w:hAnsi="Cambria Math"/>
          </w:rPr>
          <m: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oMath>
    </w:p>
    <w:bookmarkEnd w:id="29"/>
    <w:p w14:paraId="43BEB5B2" w14:textId="1F7C5887" w:rsidR="00E82136" w:rsidRPr="005D6A51" w:rsidRDefault="001A76F1" w:rsidP="00EA5174">
      <w:pPr>
        <w:pStyle w:val="FirstParagraph"/>
        <w:rPr>
          <w:rFonts w:ascii="Times New Roman" w:eastAsiaTheme="minorEastAsia"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6C521C">
        <w:rPr>
          <w:rFonts w:ascii="Times New Roman" w:hAnsi="Times New Roman" w:cs="Times New Roman"/>
        </w:rPr>
        <w:t xml:space="preserve"> described in Section 7 during the</w:t>
      </w:r>
      <w:r w:rsidR="002B5BD0" w:rsidRPr="006C521C">
        <w:rPr>
          <w:rFonts w:ascii="Times New Roman" w:hAnsi="Times New Roman" w:cs="Times New Roman"/>
        </w:rPr>
        <w:t xml:space="preserve"> low noise phase helps </w:t>
      </w:r>
      <w:r w:rsidR="00153491" w:rsidRPr="006C521C">
        <w:rPr>
          <w:rFonts w:ascii="Times New Roman" w:hAnsi="Times New Roman" w:cs="Times New Roman"/>
        </w:rPr>
        <w:t xml:space="preserve">to </w:t>
      </w:r>
      <w:r w:rsidR="00083F0E" w:rsidRPr="006C521C">
        <w:rPr>
          <w:rFonts w:ascii="Times New Roman" w:hAnsi="Times New Roman" w:cs="Times New Roman"/>
        </w:rPr>
        <w:t>speed up convergence</w:t>
      </w:r>
      <w:r w:rsidR="0019702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 xml:space="preserve">is below the confidence interval. This signals the algorithm to start safe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w:t>
      </w:r>
      <w:r w:rsidR="00CB29D1">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CB29D1">
        <w:rPr>
          <w:rFonts w:ascii="Times New Roman" w:hAnsi="Times New Roman" w:cs="Times New Roman"/>
        </w:rPr>
        <w:t xml:space="preserve">finite difference slope estimation is used 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for this case,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 xml:space="preserve">but for batch sampling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30" w:name="_Hlk215563086"/>
      <m:oMath>
        <m:r>
          <w:rPr>
            <w:rFonts w:ascii="Cambria Math" w:hAnsi="Cambria Math"/>
            <w:sz w:val="24"/>
          </w:rPr>
          <m:t>λ&gt;0</m:t>
        </m:r>
      </m:oMath>
      <w:bookmarkEnd w:id="30"/>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lastRenderedPageBreak/>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1"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1"/>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 xml:space="preserve">including </w:t>
      </w:r>
      <w:r w:rsidR="00783BAF">
        <w:rPr>
          <w:highlight w:val="white"/>
        </w:rPr>
        <w:lastRenderedPageBreak/>
        <w:t>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2" w:name="_Hlk200273652"/>
      <w:r>
        <w:t xml:space="preserve">Results and </w:t>
      </w:r>
      <w:r w:rsidR="009C2C81">
        <w:t>DISCUSSION</w:t>
      </w:r>
    </w:p>
    <w:bookmarkEnd w:id="32"/>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3"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3"/>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4"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lastRenderedPageBreak/>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4"/>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5" w:name="_heading=h.44sinio" w:colFirst="0" w:colLast="0"/>
      <w:bookmarkEnd w:id="35"/>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71BD9EED">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6" w:name="_heading=h.2jxsxqh" w:colFirst="0" w:colLast="0"/>
      <w:bookmarkEnd w:id="36"/>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7"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8"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7"/>
      <w:bookmarkEnd w:id="38"/>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9"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9"/>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40"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40"/>
      <w:r w:rsidR="001E1866">
        <w:t xml:space="preserve">to </w:t>
      </w:r>
      <w:bookmarkStart w:id="41" w:name="_Hlk185173521"/>
      <w:r w:rsidR="001E1866">
        <w:t xml:space="preserve">complement </w:t>
      </w:r>
      <w:bookmarkEnd w:id="41"/>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E821C02-5A5E-4349-9958-3A12F36A887F}"/>
    <w:embedItalic r:id="rId2" w:fontKey="{26923AE3-FF4E-4607-ABE5-4E2B610D821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37AC8EF-85F6-447F-BB54-EE19E58DB2EC}"/>
  </w:font>
  <w:font w:name="Georgia">
    <w:panose1 w:val="02040502050405020303"/>
    <w:charset w:val="00"/>
    <w:family w:val="roman"/>
    <w:pitch w:val="variable"/>
    <w:sig w:usb0="00000287" w:usb1="00000000" w:usb2="00000000" w:usb3="00000000" w:csb0="0000009F" w:csb1="00000000"/>
    <w:embedRegular r:id="rId4" w:fontKey="{59E90F5C-D513-4BD2-895E-6B1596CA48A6}"/>
    <w:embedItalic r:id="rId5" w:fontKey="{3F6D02AC-6CB8-442B-8C93-1465BB16A3CE}"/>
  </w:font>
  <w:font w:name="Cambria Math">
    <w:panose1 w:val="02040503050406030204"/>
    <w:charset w:val="00"/>
    <w:family w:val="roman"/>
    <w:pitch w:val="variable"/>
    <w:sig w:usb0="E00006FF" w:usb1="420024FF" w:usb2="02000000" w:usb3="00000000" w:csb0="0000019F" w:csb1="00000000"/>
    <w:embedRegular r:id="rId6" w:fontKey="{40330683-150A-4A14-AB5D-14AC27675943}"/>
    <w:embedItalic r:id="rId7" w:fontKey="{1A9F65DE-57A7-468E-8094-A3FD09C2DB5F}"/>
    <w:embedBoldItalic r:id="rId8" w:fontKey="{DA4A24B5-7937-4B97-890F-DC97E87488CB}"/>
  </w:font>
  <w:font w:name="Cambria">
    <w:panose1 w:val="02040503050406030204"/>
    <w:charset w:val="00"/>
    <w:family w:val="roman"/>
    <w:pitch w:val="variable"/>
    <w:sig w:usb0="E00006FF" w:usb1="420024FF" w:usb2="02000000" w:usb3="00000000" w:csb0="0000019F" w:csb1="00000000"/>
    <w:embedRegular r:id="rId9" w:fontKey="{948A58E6-ECE7-4FBB-AF64-1873CE876C6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29D0"/>
    <w:rsid w:val="000B2E40"/>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0FFB"/>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40A68"/>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1152</TotalTime>
  <Pages>27</Pages>
  <Words>11662</Words>
  <Characters>66477</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123</cp:revision>
  <dcterms:created xsi:type="dcterms:W3CDTF">2025-11-30T15:48:00Z</dcterms:created>
  <dcterms:modified xsi:type="dcterms:W3CDTF">2025-12-09T01:15:00Z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