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is accurately modeled  for</w:t>
      </w:r>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where the drift velocity is predicted to reach a value as high as 8 μm/s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Tsr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r w:rsidRPr="009A13FA">
        <w:rPr>
          <w:i/>
        </w:rPr>
        <w:t>Tsr,</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Comparison of Eqs.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9A13FA"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9A13FA">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9A13FA">
        <w:rPr>
          <w:rFonts w:eastAsiaTheme="minorEastAsia"/>
          <w:i/>
        </w:rPr>
        <w:t>.</w:t>
      </w:r>
      <w:r w:rsidRPr="009A13FA">
        <w:rPr>
          <w:rFonts w:eastAsiaTheme="minorEastAsia"/>
        </w:rPr>
        <w:t xml:space="preserve"> </w:t>
      </w:r>
      <w:r w:rsidRPr="009A13FA">
        <w:rPr>
          <w:rFonts w:eastAsiaTheme="minorEastAsia"/>
          <w:highlight w:val="yellow"/>
        </w:rPr>
        <w:t>T</w:t>
      </w:r>
      <w:r w:rsidR="005B637C" w:rsidRPr="009A13FA">
        <w:rPr>
          <w:rFonts w:eastAsiaTheme="minorEastAsia"/>
          <w:highlight w:val="yellow"/>
          <w:lang w:val="en-CA"/>
        </w:rPr>
        <w:t xml:space="preserve">he </w:t>
      </w:r>
      <w:r w:rsidR="00B438E7" w:rsidRPr="009A13FA">
        <w:rPr>
          <w:rFonts w:eastAsiaTheme="minorEastAsia"/>
          <w:highlight w:val="yellow"/>
          <w:lang w:val="en-CA"/>
        </w:rPr>
        <w:t xml:space="preserve">inequality noise </w:t>
      </w:r>
      <w:r w:rsidR="005B637C" w:rsidRPr="009A13FA">
        <w:rPr>
          <w:rFonts w:eastAsiaTheme="minorEastAsia"/>
          <w:highlight w:val="yellow"/>
          <w:lang w:val="en-CA"/>
        </w:rPr>
        <w:t xml:space="preserve">term on the right </w:t>
      </w:r>
      <w:r w:rsidRPr="009A13FA">
        <w:rPr>
          <w:rFonts w:eastAsiaTheme="minorEastAsia"/>
          <w:highlight w:val="yellow"/>
          <w:lang w:val="en-CA"/>
        </w:rPr>
        <w:t xml:space="preserve">is bounded proportional to the </w:t>
      </w:r>
      <w:r w:rsidR="0065590B" w:rsidRPr="009A13FA">
        <w:rPr>
          <w:rFonts w:eastAsiaTheme="minorEastAsia"/>
          <w:highlight w:val="yellow"/>
          <w:lang w:val="en-CA"/>
        </w:rPr>
        <w:t xml:space="preserve">maximum </w:t>
      </w:r>
      <w:r w:rsidRPr="009A13FA">
        <w:rPr>
          <w:rFonts w:eastAsiaTheme="minorEastAsia"/>
          <w:highlight w:val="yellow"/>
          <w:lang w:val="en-CA"/>
        </w:rPr>
        <w:t>noise magnitude</w:t>
      </w:r>
      <w:r w:rsidR="0065590B" w:rsidRPr="009A13FA">
        <w:rPr>
          <w:rFonts w:eastAsiaTheme="minorEastAsia"/>
          <w:highlight w:val="yellow"/>
          <w:lang w:val="en-CA"/>
        </w:rPr>
        <w:t xml:space="preserve"> over all previous iterations</w:t>
      </w:r>
      <w:r w:rsidR="00B92004" w:rsidRPr="009A13FA">
        <w:rPr>
          <w:rFonts w:eastAsiaTheme="minorEastAsia"/>
          <w:highlight w:val="yellow"/>
          <w:lang w:val="en-CA"/>
        </w:rPr>
        <w:t xml:space="preserve"> in the alpha window</w:t>
      </w:r>
      <w:r w:rsidR="008A3FB7" w:rsidRPr="009A13FA">
        <w:rPr>
          <w:rFonts w:eastAsiaTheme="minorEastAsia"/>
          <w:highlight w:val="yellow"/>
          <w:lang w:val="en-CA"/>
        </w:rPr>
        <w:t>:</w:t>
      </w:r>
      <w:r w:rsidR="002B5EDB" w:rsidRPr="009A13FA">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9A13FA">
        <w:rPr>
          <w:rFonts w:eastAsiaTheme="minorEastAsia"/>
          <w:highlight w:val="yellow"/>
          <w:lang w:val="en-CA"/>
        </w:rPr>
        <w:t xml:space="preserve">, </w:t>
      </w:r>
      <w:r w:rsidR="005B637C" w:rsidRPr="009A13FA">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9A13FA">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9A13FA">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9A13FA">
        <w:rPr>
          <w:rFonts w:eastAsiaTheme="minorEastAsia"/>
          <w:highlight w:val="yellow"/>
        </w:rPr>
        <w:t xml:space="preserve"> </w:t>
      </w:r>
      <w:r w:rsidR="00CE1A17" w:rsidRPr="009A13FA">
        <w:rPr>
          <w:rFonts w:eastAsiaTheme="minorEastAsia"/>
          <w:highlight w:val="yellow"/>
        </w:rPr>
        <w:t>and as</w:t>
      </w:r>
      <w:r w:rsidR="008A3FB7" w:rsidRPr="009A13FA">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9A13FA">
        <w:rPr>
          <w:highlight w:val="yellow"/>
        </w:rPr>
        <w:t xml:space="preserve"> the </w:t>
      </w:r>
      <w:r w:rsidR="008A3FB7" w:rsidRPr="009A13FA">
        <w:rPr>
          <w:rFonts w:eastAsiaTheme="minorEastAsia"/>
          <w:highlight w:val="yellow"/>
          <w:lang w:val="en-CA"/>
        </w:rPr>
        <w:t xml:space="preserve">term is </w:t>
      </w:r>
      <w:r w:rsidRPr="009A13FA">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9A13FA">
        <w:rPr>
          <w:rFonts w:eastAsiaTheme="minorEastAsia"/>
          <w:highlight w:val="yellow"/>
        </w:rPr>
        <w:t xml:space="preserve"> </w:t>
      </w:r>
      <w:sdt>
        <w:sdtPr>
          <w:rPr>
            <w:b/>
            <w:bCs/>
            <w:highlight w:val="yellow"/>
          </w:rPr>
          <w:id w:val="2048327313"/>
          <w:citation/>
        </w:sdtPr>
        <w:sdtContent>
          <w:r w:rsidR="002B5EDB" w:rsidRPr="009A13FA">
            <w:rPr>
              <w:b/>
              <w:bCs/>
              <w:highlight w:val="yellow"/>
            </w:rPr>
            <w:fldChar w:fldCharType="begin"/>
          </w:r>
          <w:r w:rsidR="002B5EDB" w:rsidRPr="009A13FA">
            <w:rPr>
              <w:b/>
              <w:bCs/>
              <w:highlight w:val="yellow"/>
            </w:rPr>
            <w:instrText xml:space="preserve"> CITATION Kha02 \l 1033  \m Ela05</w:instrText>
          </w:r>
          <w:r w:rsidR="002B5EDB" w:rsidRPr="009A13FA">
            <w:rPr>
              <w:b/>
              <w:bCs/>
              <w:highlight w:val="yellow"/>
            </w:rPr>
            <w:fldChar w:fldCharType="separate"/>
          </w:r>
          <w:r w:rsidR="006B6289" w:rsidRPr="009A13FA">
            <w:rPr>
              <w:noProof/>
              <w:highlight w:val="yellow"/>
            </w:rPr>
            <w:t>[40, 41]</w:t>
          </w:r>
          <w:r w:rsidR="002B5EDB" w:rsidRPr="009A13FA">
            <w:rPr>
              <w:b/>
              <w:bCs/>
              <w:highlight w:val="yellow"/>
            </w:rPr>
            <w:fldChar w:fldCharType="end"/>
          </w:r>
        </w:sdtContent>
      </w:sdt>
      <w:r w:rsidR="002B5EDB" w:rsidRPr="009A13FA">
        <w:rPr>
          <w:highlight w:val="yellow"/>
        </w:rPr>
        <w:t>.</w:t>
      </w:r>
      <w:r w:rsidRPr="009A13FA">
        <w:rPr>
          <w:highlight w:val="yellow"/>
        </w:rPr>
        <w:t xml:space="preserve"> </w:t>
      </w:r>
      <w:r w:rsidR="00E07564" w:rsidRPr="009A13FA">
        <w:rPr>
          <w:highlight w:val="yellow"/>
        </w:rPr>
        <w:t xml:space="preserve">The </w:t>
      </w:r>
      <w:r w:rsidR="00B92004" w:rsidRPr="009A13FA">
        <w:rPr>
          <w:highlight w:val="yellow"/>
        </w:rPr>
        <w:t>left</w:t>
      </w:r>
      <w:r w:rsidR="00E07564" w:rsidRPr="009A13FA">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9A13FA">
        <w:rPr>
          <w:highlight w:val="yellow"/>
          <w:lang w:val="en-CA"/>
        </w:rPr>
        <w:t>), represents exponential decay of the initial error</w:t>
      </w:r>
      <w:r w:rsidR="00B92004" w:rsidRPr="009A13FA">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9A13FA">
        <w:rPr>
          <w:highlight w:val="yellow"/>
          <w:lang w:val="en-CA"/>
        </w:rPr>
        <w:t xml:space="preserve">. </w:t>
      </w:r>
      <w:r w:rsidR="00E07564" w:rsidRPr="009A13FA">
        <w:rPr>
          <w:highlight w:val="yellow"/>
        </w:rPr>
        <w:t xml:space="preserve">Contraction </w:t>
      </w:r>
      <w:bookmarkStart w:id="22" w:name="_Hlk216185216"/>
      <w:r w:rsidR="009F5340" w:rsidRPr="009A13FA">
        <w:rPr>
          <w:highlight w:val="yellow"/>
        </w:rPr>
        <w:t xml:space="preserve">towards a </w:t>
      </w:r>
      <w:r w:rsidR="009F5340" w:rsidRPr="009A13FA">
        <w:rPr>
          <w:i/>
          <w:iCs/>
          <w:highlight w:val="yellow"/>
        </w:rPr>
        <w:t>noise bounded region</w:t>
      </w:r>
      <w:r w:rsidR="009F5340" w:rsidRPr="009A13FA">
        <w:rPr>
          <w:highlight w:val="yellow"/>
        </w:rPr>
        <w:t xml:space="preserve"> </w:t>
      </w:r>
      <w:r w:rsidR="00972FD2" w:rsidRPr="009A13FA">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9A13FA">
        <w:rPr>
          <w:highlight w:val="yellow"/>
        </w:rPr>
        <w:t xml:space="preserve">, </w:t>
      </w:r>
      <w:bookmarkEnd w:id="22"/>
      <w:r w:rsidR="00972FD2" w:rsidRPr="009A13FA">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9A13FA">
        <w:t>),</w:t>
      </w:r>
      <w:r w:rsidR="00DD13B0" w:rsidRPr="009A13FA">
        <w:rPr>
          <w:highlight w:val="yellow"/>
          <w:lang w:val="en-CA"/>
        </w:rPr>
        <w:t xml:space="preserve"> </w:t>
      </w:r>
      <w:r w:rsidR="002B5EDB" w:rsidRPr="009A13FA">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9A13FA">
        <w:rPr>
          <w:rFonts w:eastAsiaTheme="minorEastAsia"/>
          <w:highlight w:val="yellow"/>
          <w:lang w:val="en-CA"/>
        </w:rPr>
        <w:t xml:space="preserve"> </w:t>
      </w:r>
      <w:r w:rsidR="00B95DC7" w:rsidRPr="009A13FA">
        <w:rPr>
          <w:highlight w:val="yellow"/>
        </w:rPr>
        <w:t>requires</w:t>
      </w:r>
      <w:r w:rsidRPr="009A13FA">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9A13FA">
        <w:rPr>
          <w:rFonts w:eastAsiaTheme="minorEastAsia"/>
          <w:highlight w:val="yellow"/>
        </w:rPr>
        <w:t xml:space="preserve"> to guarantee decay </w:t>
      </w:r>
      <w:sdt>
        <w:sdtPr>
          <w:rPr>
            <w:b/>
            <w:bCs/>
            <w:highlight w:val="yellow"/>
          </w:rPr>
          <w:id w:val="1792248395"/>
          <w:citation/>
        </w:sdtPr>
        <w:sdtContent>
          <w:r w:rsidR="00B95DC7" w:rsidRPr="009A13FA">
            <w:rPr>
              <w:b/>
              <w:bCs/>
              <w:highlight w:val="yellow"/>
            </w:rPr>
            <w:fldChar w:fldCharType="begin"/>
          </w:r>
          <w:r w:rsidR="00B95DC7" w:rsidRPr="009A13FA">
            <w:rPr>
              <w:b/>
              <w:bCs/>
              <w:highlight w:val="yellow"/>
            </w:rPr>
            <w:instrText xml:space="preserve"> CITATION Kha02 \l 1033  \m Ela05</w:instrText>
          </w:r>
          <w:r w:rsidR="00B95DC7" w:rsidRPr="009A13FA">
            <w:rPr>
              <w:b/>
              <w:bCs/>
              <w:highlight w:val="yellow"/>
            </w:rPr>
            <w:fldChar w:fldCharType="separate"/>
          </w:r>
          <w:r w:rsidR="006B6289" w:rsidRPr="009A13FA">
            <w:rPr>
              <w:noProof/>
              <w:highlight w:val="yellow"/>
            </w:rPr>
            <w:t>[40, 41]</w:t>
          </w:r>
          <w:r w:rsidR="00B95DC7" w:rsidRPr="009A13FA">
            <w:rPr>
              <w:b/>
              <w:bCs/>
              <w:highlight w:val="yellow"/>
            </w:rPr>
            <w:fldChar w:fldCharType="end"/>
          </w:r>
        </w:sdtContent>
      </w:sdt>
      <w:r w:rsidR="00B95DC7" w:rsidRPr="009A13FA">
        <w:rPr>
          <w:b/>
          <w:bCs/>
          <w:highlight w:val="yellow"/>
        </w:rPr>
        <w:t>.</w:t>
      </w:r>
      <w:r w:rsidR="003925B8" w:rsidRPr="009A13FA">
        <w:t xml:space="preserve"> </w:t>
      </w:r>
      <w:r w:rsidR="00250096" w:rsidRPr="009A13FA">
        <w:t>The secant</w:t>
      </w:r>
      <w:r w:rsidR="00E30B75" w:rsidRPr="009A13FA">
        <w:t xml:space="preserve"> is </w:t>
      </w:r>
      <w:r w:rsidR="00250096" w:rsidRPr="009A13FA">
        <w:t xml:space="preserve">not only used as a gradient estimate, but also </w:t>
      </w:r>
      <w:r w:rsidR="00E30B75" w:rsidRPr="009A13FA">
        <w:t>to</w:t>
      </w:r>
      <w:r w:rsidR="00305E5E" w:rsidRPr="009A13FA">
        <w:t xml:space="preserve"> </w:t>
      </w:r>
      <w:r w:rsidR="00E30B75" w:rsidRPr="009A13FA">
        <w:t xml:space="preserve">derive an upper bound on the </w:t>
      </w:r>
      <w:r w:rsidR="00197021" w:rsidRPr="009A13FA">
        <w:t xml:space="preserve">learning </w:t>
      </w:r>
      <w:r w:rsidR="00E30B75" w:rsidRPr="009A13FA">
        <w:t>rate</w:t>
      </w:r>
      <w:r w:rsidR="00EF2819" w:rsidRPr="009A13FA">
        <w:t>,</w:t>
      </w:r>
      <w:r w:rsidR="00E30B75" w:rsidRPr="009A13FA">
        <w:t xml:space="preserve"> </w:t>
      </w:r>
      <w:r w:rsidR="00EF2819" w:rsidRPr="009A13FA">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9A13FA">
        <w:t>),</w:t>
      </w:r>
      <w:r w:rsidR="00E30B75" w:rsidRPr="009A13FA">
        <w:t xml:space="preserve"> to </w:t>
      </w:r>
      <w:r w:rsidR="002922E2" w:rsidRPr="009A13FA">
        <w:t xml:space="preserve">utilize a </w:t>
      </w:r>
      <w:r w:rsidR="00E30B75" w:rsidRPr="009A13FA">
        <w:t xml:space="preserve">step size </w:t>
      </w:r>
      <w:r w:rsidR="002B5BD0" w:rsidRPr="009A13FA">
        <w:t xml:space="preserve">for more rapid convergence without overshooting or oscillations </w:t>
      </w:r>
      <w:r w:rsidR="00E30B75" w:rsidRPr="009A13FA">
        <w:t>despite intrinsic stochastic noise</w:t>
      </w:r>
      <w:r w:rsidR="00320974" w:rsidRPr="009A13FA">
        <w:t>. Maximum convergence occurs when</w:t>
      </w:r>
      <w:r w:rsidR="00CD568D" w:rsidRPr="009A13FA">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sidRPr="009A13FA">
        <w:rPr>
          <w:lang w:val="en-CA"/>
        </w:rPr>
        <w:t xml:space="preserve"> is minimized:</w:t>
      </w:r>
      <w:r w:rsidR="00320974" w:rsidRPr="009A13FA">
        <w:t xml:space="preserve"> </w:t>
      </w:r>
      <m:oMath>
        <m:r>
          <w:rPr>
            <w:rFonts w:ascii="Cambria Math" w:hAnsi="Cambria Math"/>
          </w:rPr>
          <m:t>q=0=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rsidRPr="009A13FA">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9A13FA">
        <w:t>. T</w:t>
      </w:r>
      <w:r w:rsidR="00320974" w:rsidRPr="009A13FA">
        <w:t>his would mean th</w:t>
      </w:r>
      <w:r w:rsidR="00CD568D" w:rsidRPr="009A13FA">
        <w:t>at each step converges towards the asymptotic</w:t>
      </w:r>
      <w:r w:rsidR="00320974" w:rsidRPr="009A13FA">
        <w:t xml:space="preserve"> </w:t>
      </w:r>
      <w:r w:rsidR="00320974" w:rsidRPr="009A13FA">
        <w:rPr>
          <w:i/>
          <w:iCs/>
          <w:highlight w:val="yellow"/>
        </w:rPr>
        <w:t>noise bounded region</w:t>
      </w:r>
      <w:r w:rsidR="00320974" w:rsidRPr="009A13FA">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rsidRPr="009A13FA">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rsidRPr="009A13FA">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102E2199"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 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474D0CD5"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2569F7AC" w14:textId="21E0BE67" w:rsidR="006352EF" w:rsidRPr="009A13FA" w:rsidRDefault="00D41137" w:rsidP="0017001D">
      <w:pPr>
        <w:spacing w:before="120" w:after="120"/>
        <w:rPr>
          <w:b/>
          <w:bCs/>
          <w:highlight w:val="white"/>
        </w:rPr>
      </w:pPr>
      <w:r w:rsidRPr="009A13FA">
        <w:rPr>
          <w:b/>
          <w:bCs/>
          <w:highlight w:val="white"/>
        </w:rPr>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w:t>
      </w:r>
      <w:r w:rsidRPr="009A13FA">
        <w:rPr>
          <w:highlight w:val="white"/>
        </w:rPr>
        <w:lastRenderedPageBreak/>
        <w:t xml:space="preserve">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lastRenderedPageBreak/>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6DA20478" w14:textId="32815B42" w:rsidR="00BE1BA5" w:rsidRPr="00383F4D" w:rsidRDefault="00BE1BA5" w:rsidP="00383F4D">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lastRenderedPageBreak/>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1E26035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 theoretical alpha values calculated (blue line) and the fitted alpha values for the non-physical solution (red dot). </w:t>
      </w:r>
      <w:r w:rsidRPr="009A13FA">
        <w:t>Values calculated for each microhabitat location (deme) on x-axis.</w:t>
      </w:r>
      <w:r>
        <w:t xml:space="preserve"> </w:t>
      </w:r>
    </w:p>
    <w:p w14:paraId="700F18F5" w14:textId="1B8BA09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Goentoro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58EF3276" w14:textId="5E8264CF" w:rsidR="002C454F" w:rsidRPr="009A13FA"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r w:rsidR="000507E0" w:rsidRPr="009A13FA">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 adapt to the concentration, and </w:t>
      </w:r>
      <m:oMath>
        <m:r>
          <w:rPr>
            <w:rFonts w:ascii="Cambria Math" w:hAnsi="Cambria Math"/>
          </w:rPr>
          <m:t>α</m:t>
        </m:r>
      </m:oMath>
      <w:r w:rsidR="000507E0" w:rsidRPr="009A13FA">
        <w:t xml:space="preserve"> represents a high-pass filter to amplify low-frequency gradient signals. The filter </w:t>
      </w:r>
      <m:oMath>
        <m:r>
          <w:rPr>
            <w:rFonts w:ascii="Cambria Math" w:hAnsi="Cambria Math"/>
          </w:rPr>
          <m:t>α</m:t>
        </m:r>
      </m:oMath>
      <w:r w:rsidR="000507E0" w:rsidRPr="009A13FA">
        <w:t xml:space="preserve"> gets larger when methylation can easily compensate so the bacterial system can track environmental changes closely.</w:t>
      </w:r>
      <w:r w:rsidR="00E344B2" w:rsidRPr="009A13FA">
        <w:t xml:space="preserve"> </w:t>
      </w:r>
      <w:r w:rsidR="000507E0"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cannot keep up with the rapid changes in concentration, so </w:t>
      </w:r>
      <m:oMath>
        <m:r>
          <w:rPr>
            <w:rFonts w:ascii="Cambria Math" w:hAnsi="Cambria Math"/>
          </w:rPr>
          <m:t>α</m:t>
        </m:r>
      </m:oMath>
      <w:r w:rsidR="000507E0" w:rsidRPr="009A13FA">
        <w:t xml:space="preserve"> represents a low-pass filter to prevent the model from overreacting to noise by filtering out high-frequency gradient signals. It </w:t>
      </w:r>
      <w:r w:rsidR="009D795B" w:rsidRPr="009A13FA">
        <w:t>becomes</w:t>
      </w:r>
      <w:r w:rsidR="000507E0" w:rsidRPr="009A13FA">
        <w:t xml:space="preserve"> smaller when </w:t>
      </w:r>
      <w:r w:rsidR="009D795B" w:rsidRPr="009A13FA">
        <w:t xml:space="preserve">receptors saturate and </w:t>
      </w:r>
      <w:r w:rsidR="000507E0" w:rsidRPr="009A13FA">
        <w:t xml:space="preserve">methylation falls behind so </w:t>
      </w:r>
      <w:r w:rsidR="009D795B" w:rsidRPr="009A13FA">
        <w:t>bacteria</w:t>
      </w:r>
      <w:r w:rsidR="000507E0" w:rsidRPr="009A13FA">
        <w:t xml:space="preserve"> can</w:t>
      </w:r>
      <w:r w:rsidR="009D795B" w:rsidRPr="009A13FA">
        <w:t>no</w:t>
      </w:r>
      <w:r w:rsidR="000507E0" w:rsidRPr="009A13FA">
        <w:t>t “see” further up the gradient.</w:t>
      </w:r>
      <w:r w:rsidR="00E344B2" w:rsidRPr="009A13FA">
        <w:t xml:space="preserve"> Instead of filtering methylation adaptation as a frequency filter </w:t>
      </w:r>
      <w:sdt>
        <w:sdtPr>
          <w:rPr>
            <w:highlight w:val="yellow"/>
          </w:rPr>
          <w:id w:val="-2132778675"/>
          <w:citation/>
        </w:sdtPr>
        <w:sdtContent>
          <w:r w:rsidR="00E344B2" w:rsidRPr="009A13FA">
            <w:rPr>
              <w:highlight w:val="yellow"/>
            </w:rPr>
            <w:fldChar w:fldCharType="begin"/>
          </w:r>
          <w:r w:rsidR="00E344B2" w:rsidRPr="009A13FA">
            <w:rPr>
              <w:highlight w:val="yellow"/>
            </w:rPr>
            <w:instrText xml:space="preserve"> CITATION TuY08 \l 1033 </w:instrText>
          </w:r>
          <w:r w:rsidR="00E344B2" w:rsidRPr="009A13FA">
            <w:rPr>
              <w:highlight w:val="yellow"/>
            </w:rPr>
            <w:fldChar w:fldCharType="separate"/>
          </w:r>
          <w:r w:rsidR="006B6289" w:rsidRPr="009A13FA">
            <w:rPr>
              <w:noProof/>
              <w:highlight w:val="yellow"/>
            </w:rPr>
            <w:t>[48]</w:t>
          </w:r>
          <w:r w:rsidR="00E344B2" w:rsidRPr="009A13FA">
            <w:rPr>
              <w:highlight w:val="yellow"/>
            </w:rPr>
            <w:fldChar w:fldCharType="end"/>
          </w:r>
        </w:sdtContent>
      </w:sdt>
      <w:r w:rsidR="00E344B2" w:rsidRPr="009A13FA">
        <w:t>, this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lastRenderedPageBreak/>
        <w:t xml:space="preserve">saturating and no longer bringing receptor activity to baseline, causing adaptation to fail 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6B6289" w:rsidRPr="009A13FA">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the gradient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Pr="009A13FA">
        <w:br/>
      </w:r>
    </w:p>
    <w:p w14:paraId="2D7287BD" w14:textId="296038C2" w:rsidR="00A409F1" w:rsidRPr="009A13FA" w:rsidRDefault="00A409F1" w:rsidP="00A409F1">
      <w:pPr>
        <w:spacing w:before="120" w:after="120"/>
      </w:pPr>
      <w:r w:rsidRPr="009A13FA">
        <w:rPr>
          <w:highlight w:val="yellow"/>
        </w:rPr>
        <w:t>THE CONNECTION BETWEEN RTROC AND M_K</w:t>
      </w:r>
    </w:p>
    <w:p w14:paraId="592C51C9" w14:textId="77777777" w:rsidR="009C2C81" w:rsidRPr="009A13FA" w:rsidRDefault="009C2C81">
      <w:pPr>
        <w:spacing w:before="120" w:after="120"/>
      </w:pPr>
    </w:p>
    <w:p w14:paraId="1CA78A03" w14:textId="77777777" w:rsidR="005E7F67" w:rsidRDefault="005E7F67" w:rsidP="00DC33F6"/>
    <w:p w14:paraId="0DB023DF" w14:textId="4195D472" w:rsidR="001F2EBE" w:rsidRPr="009A13FA" w:rsidRDefault="00753982" w:rsidP="00DC33F6">
      <w:r w:rsidRPr="009A13FA">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w:t>
      </w:r>
      <w:r w:rsidR="005E7F67" w:rsidRPr="005E7F67">
        <w:t>0.28</w:t>
      </w:r>
      <w:r w:rsidR="005E7F67">
        <w:t>%.</w:t>
      </w:r>
    </w:p>
    <w:p w14:paraId="6E17D7FB" w14:textId="2F84CDB9" w:rsidR="001F2EBE" w:rsidRPr="009A13FA"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Scitation,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2">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3">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DC6EAE2-60A9-4D61-A632-BC404FCADD96}"/>
    <w:embedItalic r:id="rId2" w:fontKey="{D7171AC9-F0CC-4593-ABD4-3F3457D30CD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351881D-DCA1-43A0-AD93-0BF462F98B0E}"/>
  </w:font>
  <w:font w:name="Georgia">
    <w:panose1 w:val="02040502050405020303"/>
    <w:charset w:val="00"/>
    <w:family w:val="roman"/>
    <w:pitch w:val="variable"/>
    <w:sig w:usb0="00000287" w:usb1="00000000" w:usb2="00000000" w:usb3="00000000" w:csb0="0000009F" w:csb1="00000000"/>
    <w:embedRegular r:id="rId4" w:fontKey="{083257E1-EE60-403A-925F-56368F426029}"/>
    <w:embedItalic r:id="rId5" w:fontKey="{B87C91DD-530C-4DFA-88AD-50C2AAAA7646}"/>
  </w:font>
  <w:font w:name="Cambria Math">
    <w:panose1 w:val="02040503050406030204"/>
    <w:charset w:val="00"/>
    <w:family w:val="roman"/>
    <w:pitch w:val="variable"/>
    <w:sig w:usb0="E00006FF" w:usb1="420024FF" w:usb2="02000000" w:usb3="00000000" w:csb0="0000019F" w:csb1="00000000"/>
    <w:embedRegular r:id="rId6" w:fontKey="{7EDD0B37-94D0-4A76-B741-FA601637B409}"/>
    <w:embedItalic r:id="rId7" w:fontKey="{66739C06-D963-478B-8EAB-66CFD22ED00D}"/>
    <w:embedBoldItalic r:id="rId8" w:fontKey="{CA276FC6-A8E6-48D9-B41E-EB7754CAB3EA}"/>
  </w:font>
  <w:font w:name="Cambria">
    <w:panose1 w:val="02040503050406030204"/>
    <w:charset w:val="00"/>
    <w:family w:val="roman"/>
    <w:pitch w:val="variable"/>
    <w:sig w:usb0="E00006FF" w:usb1="420024FF" w:usb2="02000000" w:usb3="00000000" w:csb0="0000019F" w:csb1="00000000"/>
    <w:embedRegular r:id="rId9" w:fontKey="{E47FA1C3-320E-4C01-BA42-98860333060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B80"/>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2334</TotalTime>
  <Pages>24</Pages>
  <Words>10575</Words>
  <Characters>60279</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202</cp:revision>
  <dcterms:created xsi:type="dcterms:W3CDTF">2025-11-30T15:48:00Z</dcterms:created>
  <dcterms:modified xsi:type="dcterms:W3CDTF">2026-07-26T04:50:00Z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