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13576E6A"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6E52F9" w:rsidRDefault="00CB3EDE" w:rsidP="00321FE6">
      <w:pPr>
        <w:pStyle w:val="Paragraphbulleted"/>
        <w:numPr>
          <w:ilvl w:val="0"/>
          <w:numId w:val="0"/>
        </w:numPr>
        <w:spacing w:after="120"/>
        <w:ind w:firstLine="720"/>
        <w:rPr>
          <w:sz w:val="24"/>
          <w:highlight w:val="red"/>
        </w:rPr>
      </w:pPr>
      <w:r w:rsidRPr="006E52F9">
        <w:rPr>
          <w:sz w:val="24"/>
          <w:highlight w:val="red"/>
        </w:rPr>
        <w:t xml:space="preserve">By measuring the gradient of the mean with the gradient of the variance, the algorithm can detect if </w:t>
      </w:r>
      <m:oMath>
        <m:d>
          <m:dPr>
            <m:begChr m:val="|"/>
            <m:endChr m:val="|"/>
            <m:ctrlPr>
              <w:rPr>
                <w:rFonts w:ascii="Cambria Math" w:hAnsi="Cambria Math"/>
                <w:i/>
                <w:sz w:val="24"/>
                <w:highlight w:val="red"/>
              </w:rPr>
            </m:ctrlPr>
          </m:dPr>
          <m:e>
            <m:acc>
              <m:accPr>
                <m:chr m:val="̅"/>
                <m:ctrlPr>
                  <w:rPr>
                    <w:rFonts w:ascii="Cambria Math" w:hAnsi="Cambria Math"/>
                    <w:iCs/>
                    <w:sz w:val="24"/>
                    <w:highlight w:val="red"/>
                    <w:lang w:val="en-CA"/>
                  </w:rPr>
                </m:ctrlPr>
              </m:accPr>
              <m:e>
                <m:r>
                  <w:rPr>
                    <w:rFonts w:ascii="Cambria Math" w:hAnsi="Cambria Math"/>
                    <w:sz w:val="24"/>
                    <w:highlight w:val="red"/>
                    <w:lang w:val="en-CA"/>
                  </w:rPr>
                  <m:t>v</m:t>
                </m:r>
              </m:e>
            </m:acc>
            <m:d>
              <m:dPr>
                <m:ctrlPr>
                  <w:rPr>
                    <w:rFonts w:ascii="Cambria Math" w:hAnsi="Cambria Math"/>
                    <w:i/>
                    <w:sz w:val="24"/>
                    <w:highlight w:val="red"/>
                  </w:rPr>
                </m:ctrlPr>
              </m:dPr>
              <m:e>
                <m:sSub>
                  <m:sSubPr>
                    <m:ctrlPr>
                      <w:rPr>
                        <w:rFonts w:ascii="Cambria Math" w:hAnsi="Cambria Math"/>
                        <w:i/>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m:t>
            </m:r>
            <m:sSub>
              <m:sSubPr>
                <m:ctrlPr>
                  <w:rPr>
                    <w:rFonts w:ascii="Cambria Math" w:hAnsi="Cambria Math"/>
                    <w:i/>
                    <w:sz w:val="24"/>
                    <w:highlight w:val="red"/>
                  </w:rPr>
                </m:ctrlPr>
              </m:sSubPr>
              <m:e>
                <m:r>
                  <w:rPr>
                    <w:rFonts w:ascii="Cambria Math" w:hAnsi="Cambria Math"/>
                    <w:sz w:val="24"/>
                    <w:highlight w:val="red"/>
                  </w:rPr>
                  <m:t>v</m:t>
                </m:r>
              </m:e>
              <m:sub>
                <m:r>
                  <w:rPr>
                    <w:rFonts w:ascii="Cambria Math" w:hAnsi="Cambria Math"/>
                    <w:sz w:val="24"/>
                    <w:highlight w:val="red"/>
                  </w:rPr>
                  <m:t>d</m:t>
                </m:r>
              </m:sub>
            </m:sSub>
          </m:e>
        </m:d>
      </m:oMath>
      <w:r w:rsidRPr="006E52F9">
        <w:rPr>
          <w:sz w:val="24"/>
          <w:highlight w:val="red"/>
        </w:rPr>
        <w:t xml:space="preserve"> is actually converging or if the mean remains far from the target but </w:t>
      </w:r>
      <m:oMath>
        <m:acc>
          <m:accPr>
            <m:chr m:val="̅"/>
            <m:ctrlPr>
              <w:rPr>
                <w:rFonts w:ascii="Cambria Math" w:hAnsi="Cambria Math"/>
                <w:iCs/>
                <w:sz w:val="24"/>
                <w:highlight w:val="red"/>
                <w:lang w:val="en-CA"/>
              </w:rPr>
            </m:ctrlPr>
          </m:accPr>
          <m:e>
            <m:r>
              <w:rPr>
                <w:rFonts w:ascii="Cambria Math" w:hAnsi="Cambria Math"/>
                <w:sz w:val="24"/>
                <w:highlight w:val="red"/>
                <w:lang w:val="en-CA"/>
              </w:rPr>
              <m:t>v</m:t>
            </m:r>
          </m:e>
        </m:acc>
        <m:r>
          <w:rPr>
            <w:rFonts w:ascii="Cambria Math" w:hAnsi="Cambria Math"/>
            <w:sz w:val="24"/>
            <w:highlight w:val="red"/>
          </w:rPr>
          <m:t>'</m:t>
        </m:r>
        <m:d>
          <m:dPr>
            <m:ctrlPr>
              <w:rPr>
                <w:rFonts w:ascii="Cambria Math" w:hAnsi="Cambria Math"/>
                <w:i/>
                <w:sz w:val="24"/>
                <w:highlight w:val="red"/>
              </w:rPr>
            </m:ctrlPr>
          </m:dPr>
          <m:e>
            <m:sSub>
              <m:sSubPr>
                <m:ctrlPr>
                  <w:rPr>
                    <w:rFonts w:ascii="Cambria Math" w:hAnsi="Cambria Math"/>
                    <w:i/>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≈0</m:t>
        </m:r>
      </m:oMath>
      <w:r w:rsidRPr="006E52F9">
        <w:rPr>
          <w:sz w:val="24"/>
          <w:highlight w:val="red"/>
        </w:rPr>
        <w:t xml:space="preserve"> in a region with diminishing returns and increasing noise. </w:t>
      </w:r>
      <w:r w:rsidR="0090055C" w:rsidRPr="006E52F9">
        <w:rPr>
          <w:sz w:val="24"/>
          <w:highlight w:val="red"/>
        </w:rPr>
        <w:t>If the linear check</w:t>
      </w:r>
      <w:r w:rsidR="003B4C5E" w:rsidRPr="006E52F9">
        <w:rPr>
          <w:sz w:val="24"/>
          <w:highlight w:val="red"/>
        </w:rPr>
        <w:t>s</w:t>
      </w:r>
      <w:r w:rsidR="0090055C" w:rsidRPr="006E52F9">
        <w:rPr>
          <w:sz w:val="24"/>
          <w:highlight w:val="red"/>
        </w:rPr>
        <w:t xml:space="preserve"> fail and </w:t>
      </w:r>
      <m:oMath>
        <m:d>
          <m:dPr>
            <m:begChr m:val="|"/>
            <m:endChr m:val="|"/>
            <m:ctrlPr>
              <w:rPr>
                <w:rFonts w:ascii="Cambria Math" w:hAnsi="Cambria Math"/>
                <w:i/>
                <w:sz w:val="24"/>
                <w:highlight w:val="red"/>
              </w:rPr>
            </m:ctrlPr>
          </m:dPr>
          <m:e>
            <m:sSub>
              <m:sSubPr>
                <m:ctrlPr>
                  <w:rPr>
                    <w:rFonts w:ascii="Cambria Math" w:hAnsi="Cambria Math"/>
                    <w:sz w:val="24"/>
                    <w:highlight w:val="red"/>
                  </w:rPr>
                </m:ctrlPr>
              </m:sSubPr>
              <m:e>
                <m:r>
                  <w:rPr>
                    <w:rFonts w:ascii="Cambria Math" w:hAnsi="Cambria Math"/>
                    <w:sz w:val="24"/>
                    <w:highlight w:val="red"/>
                  </w:rPr>
                  <m:t>α</m:t>
                </m:r>
              </m:e>
              <m:sub>
                <m:r>
                  <w:rPr>
                    <w:rFonts w:ascii="Cambria Math" w:hAnsi="Cambria Math"/>
                    <w:sz w:val="24"/>
                    <w:highlight w:val="red"/>
                  </w:rPr>
                  <m:t>k+1</m:t>
                </m:r>
              </m:sub>
            </m:sSub>
            <m:r>
              <w:rPr>
                <w:rFonts w:ascii="Cambria Math" w:hAnsi="Cambria Math"/>
                <w:sz w:val="24"/>
                <w:highlight w:val="red"/>
              </w:rPr>
              <m:t>-</m:t>
            </m:r>
            <m:sSub>
              <m:sSubPr>
                <m:ctrlPr>
                  <w:rPr>
                    <w:rFonts w:ascii="Cambria Math" w:hAnsi="Cambria Math"/>
                    <w:sz w:val="24"/>
                    <w:highlight w:val="red"/>
                  </w:rPr>
                </m:ctrlPr>
              </m:sSubPr>
              <m:e>
                <m:r>
                  <w:rPr>
                    <w:rFonts w:ascii="Cambria Math" w:hAnsi="Cambria Math"/>
                    <w:sz w:val="24"/>
                    <w:highlight w:val="red"/>
                  </w:rPr>
                  <m:t>α</m:t>
                </m:r>
              </m:e>
              <m:sub>
                <m:r>
                  <w:rPr>
                    <w:rFonts w:ascii="Cambria Math" w:hAnsi="Cambria Math"/>
                    <w:sz w:val="24"/>
                    <w:highlight w:val="red"/>
                  </w:rPr>
                  <m:t>k</m:t>
                </m:r>
              </m:sub>
            </m:sSub>
          </m:e>
        </m:d>
        <m:r>
          <w:rPr>
            <w:rFonts w:ascii="Cambria Math" w:hAnsi="Cambria Math"/>
            <w:sz w:val="24"/>
            <w:highlight w:val="red"/>
          </w:rPr>
          <m:t>&gt;ε</m:t>
        </m:r>
      </m:oMath>
      <w:r w:rsidR="003B4C5E" w:rsidRPr="006E52F9">
        <w:rPr>
          <w:sz w:val="24"/>
          <w:highlight w:val="red"/>
        </w:rPr>
        <w:t xml:space="preserve"> is not passed</w:t>
      </w:r>
      <w:r w:rsidR="005406D7" w:rsidRPr="006E52F9">
        <w:rPr>
          <w:sz w:val="24"/>
          <w:highlight w:val="red"/>
        </w:rPr>
        <w:t>,</w:t>
      </w:r>
      <w:r w:rsidR="003B4C5E" w:rsidRPr="006E52F9">
        <w:rPr>
          <w:sz w:val="24"/>
          <w:highlight w:val="red"/>
        </w:rPr>
        <w:t xml:space="preserve"> the approximate slope becomes negligible and the algorithm reverts to finite sizes of </w:t>
      </w:r>
      <m:oMath>
        <m:sSub>
          <m:sSubPr>
            <m:ctrlPr>
              <w:rPr>
                <w:rFonts w:ascii="Cambria Math" w:hAnsi="Cambria Math"/>
                <w:i/>
                <w:sz w:val="24"/>
                <w:highlight w:val="red"/>
              </w:rPr>
            </m:ctrlPr>
          </m:sSubPr>
          <m:e>
            <m:r>
              <w:rPr>
                <w:rFonts w:ascii="Cambria Math" w:hAnsi="Cambria Math"/>
                <w:sz w:val="24"/>
                <w:highlight w:val="red"/>
              </w:rPr>
              <m:t>γ</m:t>
            </m:r>
          </m:e>
          <m:sub>
            <m:r>
              <w:rPr>
                <w:rFonts w:ascii="Cambria Math" w:hAnsi="Cambria Math"/>
                <w:sz w:val="24"/>
                <w:highlight w:val="red"/>
              </w:rPr>
              <m:t>k</m:t>
            </m:r>
          </m:sub>
        </m:sSub>
      </m:oMath>
      <w:r w:rsidR="003B4C5E" w:rsidRPr="006E52F9">
        <w:rPr>
          <w:sz w:val="24"/>
          <w:highlight w:val="red"/>
        </w:rPr>
        <w:t xml:space="preserve"> without slope information</w:t>
      </w:r>
      <w:r w:rsidRPr="006E52F9">
        <w:rPr>
          <w:sz w:val="24"/>
          <w:highlight w:val="red"/>
        </w:rPr>
        <w:t xml:space="preserve"> (but still with the signal to noise phase transition in Section 8)</w:t>
      </w:r>
      <w:r w:rsidR="003B4C5E" w:rsidRPr="006E52F9">
        <w:rPr>
          <w:sz w:val="24"/>
          <w:highlight w:val="red"/>
        </w:rPr>
        <w:t xml:space="preserve">. </w:t>
      </w:r>
      <w:r w:rsidR="009765FA" w:rsidRPr="006E52F9">
        <w:rPr>
          <w:sz w:val="24"/>
          <w:highlight w:val="red"/>
        </w:rPr>
        <w:t xml:space="preserve">The variance gradient in Eq. (10) and (11) can aid with identifying directions in which the stochastic sensitivity of the system increases or decreases along the functional landscape </w:t>
      </w:r>
      <w:r w:rsidR="0090055C" w:rsidRPr="006E52F9">
        <w:rPr>
          <w:sz w:val="24"/>
          <w:highlight w:val="red"/>
        </w:rPr>
        <w:t xml:space="preserve">to update </w:t>
      </w:r>
      <w:r w:rsidR="009765FA" w:rsidRPr="006E52F9">
        <w:rPr>
          <w:sz w:val="24"/>
          <w:highlight w:val="red"/>
        </w:rPr>
        <w:t xml:space="preserve">via </w:t>
      </w:r>
      <w:r w:rsidR="0090055C" w:rsidRPr="006E52F9">
        <w:rPr>
          <w:sz w:val="24"/>
          <w:highlight w:val="red"/>
        </w:rPr>
        <w:t>gradient descent</w:t>
      </w:r>
      <w:r w:rsidR="003B4C5E" w:rsidRPr="006E52F9">
        <w:rPr>
          <w:sz w:val="24"/>
          <w:highlight w:val="red"/>
        </w:rPr>
        <w:t xml:space="preserve">: </w:t>
      </w:r>
      <m:oMath>
        <m:sSub>
          <m:sSubPr>
            <m:ctrlPr>
              <w:rPr>
                <w:rFonts w:ascii="Cambria Math" w:eastAsia="Cambria Math" w:hAnsi="Cambria Math"/>
                <w:i/>
                <w:sz w:val="24"/>
                <w:highlight w:val="red"/>
              </w:rPr>
            </m:ctrlPr>
          </m:sSubPr>
          <m:e>
            <m:r>
              <w:rPr>
                <w:rFonts w:ascii="Cambria Math" w:eastAsia="Cambria Math" w:hAnsi="Cambria Math"/>
                <w:sz w:val="24"/>
                <w:highlight w:val="red"/>
              </w:rPr>
              <m:t>α</m:t>
            </m:r>
          </m:e>
          <m:sub>
            <m:r>
              <w:rPr>
                <w:rFonts w:ascii="Cambria Math" w:eastAsia="Cambria Math" w:hAnsi="Cambria Math"/>
                <w:sz w:val="24"/>
                <w:highlight w:val="red"/>
              </w:rPr>
              <m:t>k+1</m:t>
            </m:r>
          </m:sub>
        </m:sSub>
        <m:r>
          <w:rPr>
            <w:rFonts w:ascii="Cambria Math" w:eastAsia="Cambria Math" w:hAnsi="Cambria Math"/>
            <w:sz w:val="24"/>
            <w:highlight w:val="red"/>
          </w:rPr>
          <m:t>≅</m:t>
        </m:r>
        <m:sSub>
          <m:sSubPr>
            <m:ctrlPr>
              <w:rPr>
                <w:rFonts w:ascii="Cambria Math" w:eastAsia="Cambria Math" w:hAnsi="Cambria Math"/>
                <w:i/>
                <w:sz w:val="24"/>
                <w:highlight w:val="red"/>
              </w:rPr>
            </m:ctrlPr>
          </m:sSubPr>
          <m:e>
            <m:r>
              <w:rPr>
                <w:rFonts w:ascii="Cambria Math" w:eastAsia="Cambria Math" w:hAnsi="Cambria Math"/>
                <w:sz w:val="24"/>
                <w:highlight w:val="red"/>
              </w:rPr>
              <m:t>α</m:t>
            </m:r>
          </m:e>
          <m:sub>
            <m:r>
              <w:rPr>
                <w:rFonts w:ascii="Cambria Math" w:eastAsia="Cambria Math" w:hAnsi="Cambria Math"/>
                <w:sz w:val="24"/>
                <w:highlight w:val="red"/>
              </w:rPr>
              <m:t>k</m:t>
            </m:r>
          </m:sub>
        </m:sSub>
        <m:r>
          <w:rPr>
            <w:rFonts w:ascii="Cambria Math" w:eastAsia="Cambria Math" w:hAnsi="Cambria Math"/>
            <w:sz w:val="24"/>
            <w:highlight w:val="red"/>
          </w:rPr>
          <m:t>-</m:t>
        </m:r>
        <m:sSub>
          <m:sSubPr>
            <m:ctrlPr>
              <w:rPr>
                <w:rFonts w:ascii="Cambria Math" w:hAnsi="Cambria Math"/>
                <w:i/>
                <w:sz w:val="24"/>
                <w:highlight w:val="red"/>
              </w:rPr>
            </m:ctrlPr>
          </m:sSubPr>
          <m:e>
            <m:r>
              <w:rPr>
                <w:rFonts w:ascii="Cambria Math" w:hAnsi="Cambria Math"/>
                <w:sz w:val="24"/>
                <w:highlight w:val="red"/>
              </w:rPr>
              <m:t>γ</m:t>
            </m:r>
          </m:e>
          <m:sub>
            <m:r>
              <w:rPr>
                <w:rFonts w:ascii="Cambria Math" w:hAnsi="Cambria Math"/>
                <w:sz w:val="24"/>
                <w:highlight w:val="red"/>
              </w:rPr>
              <m:t>k</m:t>
            </m:r>
          </m:sub>
        </m:sSub>
        <m:d>
          <m:dPr>
            <m:ctrlPr>
              <w:rPr>
                <w:rFonts w:ascii="Cambria Math" w:eastAsia="Cambria Math" w:hAnsi="Cambria Math"/>
                <w:i/>
                <w:sz w:val="24"/>
                <w:highlight w:val="red"/>
              </w:rPr>
            </m:ctrlPr>
          </m:dPr>
          <m:e>
            <m:r>
              <w:rPr>
                <w:rFonts w:ascii="Cambria Math" w:eastAsia="Cambria Math" w:hAnsi="Cambria Math"/>
                <w:sz w:val="24"/>
                <w:highlight w:val="red"/>
              </w:rPr>
              <m:t>λ</m:t>
            </m:r>
            <m:f>
              <m:fPr>
                <m:ctrlPr>
                  <w:rPr>
                    <w:rFonts w:ascii="Cambria Math" w:eastAsia="Cambria Math" w:hAnsi="Cambria Math"/>
                    <w:sz w:val="24"/>
                    <w:highlight w:val="red"/>
                  </w:rPr>
                </m:ctrlPr>
              </m:fPr>
              <m:num>
                <m:r>
                  <w:rPr>
                    <w:rFonts w:ascii="Cambria Math" w:eastAsia="Cambria Math" w:hAnsi="Cambria Math"/>
                    <w:sz w:val="24"/>
                    <w:highlight w:val="red"/>
                  </w:rPr>
                  <m:t>n-1</m:t>
                </m:r>
              </m:num>
              <m:den>
                <m:r>
                  <w:rPr>
                    <w:rFonts w:ascii="Cambria Math" w:eastAsia="Cambria Math" w:hAnsi="Cambria Math"/>
                    <w:sz w:val="24"/>
                    <w:highlight w:val="red"/>
                  </w:rPr>
                  <m:t>n</m:t>
                </m:r>
              </m:den>
            </m:f>
            <m:f>
              <m:fPr>
                <m:ctrlPr>
                  <w:rPr>
                    <w:rFonts w:ascii="Cambria Math" w:eastAsiaTheme="minorEastAsia" w:hAnsi="Cambria Math"/>
                    <w:i/>
                    <w:sz w:val="24"/>
                    <w:highlight w:val="red"/>
                  </w:rPr>
                </m:ctrlPr>
              </m:fPr>
              <m:num>
                <m:r>
                  <w:rPr>
                    <w:rFonts w:ascii="Cambria Math" w:eastAsiaTheme="minorEastAsia" w:hAnsi="Cambria Math"/>
                    <w:sz w:val="24"/>
                    <w:highlight w:val="red"/>
                  </w:rPr>
                  <m:t>d</m:t>
                </m:r>
                <m:sSup>
                  <m:sSupPr>
                    <m:ctrlPr>
                      <w:rPr>
                        <w:rFonts w:ascii="Cambria Math" w:eastAsiaTheme="minorEastAsia" w:hAnsi="Cambria Math"/>
                        <w:i/>
                        <w:sz w:val="24"/>
                        <w:highlight w:val="red"/>
                      </w:rPr>
                    </m:ctrlPr>
                  </m:sSupPr>
                  <m:e>
                    <m:r>
                      <w:rPr>
                        <w:rFonts w:ascii="Cambria Math" w:eastAsiaTheme="minorEastAsia" w:hAnsi="Cambria Math"/>
                        <w:sz w:val="24"/>
                        <w:highlight w:val="red"/>
                      </w:rPr>
                      <m:t>s</m:t>
                    </m:r>
                  </m:e>
                  <m:sup>
                    <m:r>
                      <w:rPr>
                        <w:rFonts w:ascii="Cambria Math" w:eastAsiaTheme="minorEastAsia" w:hAnsi="Cambria Math"/>
                        <w:sz w:val="24"/>
                        <w:highlight w:val="red"/>
                      </w:rPr>
                      <m:t>2</m:t>
                    </m:r>
                  </m:sup>
                </m:sSup>
              </m:num>
              <m:den>
                <m:r>
                  <w:rPr>
                    <w:rFonts w:ascii="Cambria Math" w:eastAsiaTheme="minorEastAsia" w:hAnsi="Cambria Math"/>
                    <w:sz w:val="24"/>
                    <w:highlight w:val="red"/>
                  </w:rPr>
                  <m:t>dα</m:t>
                </m:r>
              </m:den>
            </m:f>
          </m:e>
        </m:d>
      </m:oMath>
      <w:r w:rsidR="00FD565C" w:rsidRPr="006E52F9">
        <w:rPr>
          <w:sz w:val="24"/>
          <w:highlight w:val="red"/>
        </w:rPr>
        <w:t>.</w:t>
      </w:r>
      <w:r w:rsidR="00F64973" w:rsidRPr="006E52F9">
        <w:rPr>
          <w:sz w:val="24"/>
          <w:highlight w:val="red"/>
        </w:rPr>
        <w:t xml:space="preserve"> Depending on the sign, when </w:t>
      </w:r>
      <w:bookmarkStart w:id="26" w:name="_Hlk215563086"/>
      <m:oMath>
        <m:r>
          <w:rPr>
            <w:rFonts w:ascii="Cambria Math" w:hAnsi="Cambria Math"/>
            <w:sz w:val="24"/>
            <w:highlight w:val="red"/>
          </w:rPr>
          <m:t>λ&gt;0</m:t>
        </m:r>
      </m:oMath>
      <w:bookmarkEnd w:id="26"/>
      <w:r w:rsidR="00F64973" w:rsidRPr="006E52F9">
        <w:rPr>
          <w:sz w:val="24"/>
          <w:highlight w:val="red"/>
        </w:rPr>
        <w:t xml:space="preserve"> this helps with convergence towards stable regions (minimizing variance) if the covariance of the </w:t>
      </w:r>
      <w:r w:rsidR="00F64973" w:rsidRPr="006E52F9">
        <w:rPr>
          <w:sz w:val="24"/>
          <w:highlight w:val="red"/>
        </w:rPr>
        <w:lastRenderedPageBreak/>
        <w:t xml:space="preserve">residuals and their derivatives in Eq. (11) are positive. Likewise, </w:t>
      </w:r>
      <m:oMath>
        <m:r>
          <w:rPr>
            <w:rFonts w:ascii="Cambria Math" w:hAnsi="Cambria Math"/>
            <w:sz w:val="24"/>
            <w:highlight w:val="red"/>
          </w:rPr>
          <m:t>λ&lt;0</m:t>
        </m:r>
      </m:oMath>
      <w:r w:rsidR="00F64973" w:rsidRPr="006E52F9">
        <w:rPr>
          <w:sz w:val="24"/>
          <w:highlight w:val="red"/>
        </w:rPr>
        <w:t xml:space="preserve"> helps to convergence towards areas with greater noise (maximizing variance) if the covariance is negative.</w:t>
      </w:r>
      <w:r w:rsidR="009765FA" w:rsidRPr="006E52F9">
        <w:rPr>
          <w:sz w:val="24"/>
          <w:highlight w:val="red"/>
        </w:rPr>
        <w:t xml:space="preserve"> </w:t>
      </w:r>
    </w:p>
    <w:p w14:paraId="3C8A7061" w14:textId="2983C002" w:rsidR="00C201FE" w:rsidRPr="009A13FA" w:rsidRDefault="00C201FE" w:rsidP="00C201FE">
      <w:pPr>
        <w:pStyle w:val="Paragraphbulleted"/>
        <w:numPr>
          <w:ilvl w:val="0"/>
          <w:numId w:val="0"/>
        </w:numPr>
        <w:spacing w:after="120"/>
        <w:rPr>
          <w:sz w:val="24"/>
        </w:rPr>
      </w:pPr>
      <w:r w:rsidRPr="006E52F9">
        <w:rPr>
          <w:sz w:val="24"/>
          <w:highlight w:val="red"/>
        </w:rPr>
        <w:t>ADD AN RM LIKE CHECK FOR LAMBDA</w:t>
      </w:r>
      <w:r w:rsidR="000D2F78" w:rsidRPr="006E52F9">
        <w:rPr>
          <w:sz w:val="24"/>
          <w:highlight w:val="red"/>
        </w:rPr>
        <w:t xml:space="preserve"> SIGN</w:t>
      </w:r>
      <w:r w:rsidRPr="006E52F9">
        <w:rPr>
          <w:sz w:val="24"/>
          <w:highlight w:val="red"/>
        </w:rPr>
        <w:t xml:space="preserve"> IN HERE</w:t>
      </w:r>
    </w:p>
    <w:p w14:paraId="0FBD8B4F" w14:textId="45F38BD8" w:rsidR="00CC7422" w:rsidRPr="009A13FA" w:rsidRDefault="00CC7422" w:rsidP="00BE1BA5">
      <w:pPr>
        <w:spacing w:before="120" w:after="120"/>
      </w:pPr>
      <w:r w:rsidRPr="006E52F9">
        <w:rPr>
          <w:highlight w:val="red"/>
        </w:rPr>
        <w:t xml:space="preserve">If one wanted to optimize </w:t>
      </w:r>
      <m:oMath>
        <m:r>
          <w:rPr>
            <w:rFonts w:ascii="Cambria Math" w:hAnsi="Cambria Math"/>
            <w:highlight w:val="red"/>
          </w:rPr>
          <m:t>α</m:t>
        </m:r>
      </m:oMath>
      <w:r w:rsidRPr="006E52F9">
        <w:rPr>
          <w:highlight w:val="red"/>
        </w:rPr>
        <w:t xml:space="preserve"> in order to find the maximum drift velocity at the top of the plateau, (when </w:t>
      </w:r>
      <m:oMath>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highlight w:val="red"/>
                    <w:lang w:val="en-CA"/>
                  </w:rPr>
                </m:ctrlPr>
              </m:accPr>
              <m:e>
                <m:r>
                  <w:rPr>
                    <w:rFonts w:ascii="Cambria Math" w:hAnsi="Cambria Math"/>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~0</m:t>
        </m:r>
      </m:oMath>
      <w:r w:rsidRPr="006E52F9">
        <w:rPr>
          <w:highlight w:val="red"/>
        </w:rPr>
        <w:t xml:space="preserve">), with the lowest variance possible, then setting </w:t>
      </w:r>
      <m:oMath>
        <m:r>
          <w:rPr>
            <w:rFonts w:ascii="Cambria Math" w:hAnsi="Cambria Math"/>
            <w:highlight w:val="red"/>
          </w:rPr>
          <m:t>λ&gt;0</m:t>
        </m:r>
      </m:oMath>
      <w:r w:rsidRPr="006E52F9">
        <w:rPr>
          <w:highlight w:val="red"/>
        </w:rPr>
        <w:t xml:space="preserve"> would update D-DEME to converge towards that location. The variance aware gradient provides </w:t>
      </w:r>
      <w:r w:rsidR="00BE1BA5" w:rsidRPr="006E52F9">
        <w:rPr>
          <w:highlight w:val="red"/>
        </w:rPr>
        <w:t xml:space="preserve">a method </w:t>
      </w:r>
      <w:r w:rsidRPr="006E52F9">
        <w:rPr>
          <w:highlight w:val="red"/>
        </w:rPr>
        <w:t>to move the system towards the most stable equilibrium (i.e. minimiz</w:t>
      </w:r>
      <w:r w:rsidR="00BE1BA5" w:rsidRPr="006E52F9">
        <w:rPr>
          <w:highlight w:val="red"/>
        </w:rPr>
        <w:t>ing</w:t>
      </w:r>
      <w:r w:rsidRPr="006E52F9">
        <w:rPr>
          <w:highlight w:val="red"/>
        </w:rPr>
        <w:t xml:space="preserve"> </w:t>
      </w:r>
      <w:r w:rsidR="00BE1BA5" w:rsidRPr="006E52F9">
        <w:rPr>
          <w:highlight w:val="red"/>
        </w:rPr>
        <w:t xml:space="preserve">heteroskedastic variance along a constant </w:t>
      </w:r>
      <m:oMath>
        <m:acc>
          <m:accPr>
            <m:chr m:val="̅"/>
            <m:ctrlPr>
              <w:rPr>
                <w:rFonts w:ascii="Cambria Math" w:hAnsi="Cambria Math"/>
                <w:iCs/>
                <w:highlight w:val="red"/>
                <w:lang w:val="en-CA"/>
              </w:rPr>
            </m:ctrlPr>
          </m:accPr>
          <m:e>
            <m:r>
              <w:rPr>
                <w:rFonts w:ascii="Cambria Math" w:hAnsi="Cambria Math"/>
                <w:highlight w:val="red"/>
                <w:lang w:val="en-CA"/>
              </w:rPr>
              <m:t>v</m:t>
            </m:r>
          </m:e>
        </m:acc>
        <m:d>
          <m:dPr>
            <m:ctrlPr>
              <w:rPr>
                <w:rFonts w:ascii="Cambria Math" w:hAnsi="Cambria Math"/>
                <w:i/>
                <w:iCs/>
                <w:highlight w:val="red"/>
                <w:lang w:val="en-CA"/>
              </w:rPr>
            </m:ctrlPr>
          </m:dPr>
          <m:e>
            <m:r>
              <w:rPr>
                <w:rFonts w:ascii="Cambria Math" w:hAnsi="Cambria Math"/>
                <w:highlight w:val="red"/>
                <w:lang w:val="en-CA"/>
              </w:rPr>
              <m:t>α</m:t>
            </m:r>
          </m:e>
        </m:d>
      </m:oMath>
      <w:r w:rsidRPr="006E52F9">
        <w:rPr>
          <w:highlight w:val="red"/>
        </w:rPr>
        <w:t>)</w:t>
      </w:r>
      <w:r w:rsidR="00BE1BA5" w:rsidRPr="006E52F9">
        <w:rPr>
          <w:highlight w:val="red"/>
        </w:rPr>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lastRenderedPageBreak/>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w:t>
      </w:r>
      <w:r w:rsidR="00E344B2" w:rsidRPr="009A13FA">
        <w:lastRenderedPageBreak/>
        <w:t xml:space="preserve">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w:t>
      </w:r>
      <w:proofErr w:type="spellStart"/>
      <w:r w:rsidR="00C07A6C" w:rsidRPr="009A13FA">
        <w:t>Goentoro</w:t>
      </w:r>
      <w:proofErr w:type="spellEnd"/>
      <w:r w:rsidR="00C07A6C" w:rsidRPr="009A13FA">
        <w:t xml:space="preserve">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1AD74559" w14:textId="120124CA" w:rsidR="00912FEE" w:rsidRDefault="00912FEE" w:rsidP="00DC33F6">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7733A093" w14:textId="77777777" w:rsidR="006D6E3D" w:rsidRDefault="006D6E3D" w:rsidP="00DC33F6"/>
    <w:p w14:paraId="510EC5D2" w14:textId="3EC7FC61" w:rsidR="009C0DFF" w:rsidRDefault="009C0DFF">
      <w:r>
        <w:br w:type="page"/>
      </w:r>
    </w:p>
    <w:p w14:paraId="78C5A3EF" w14:textId="2EAEB392" w:rsidR="009C0DFF" w:rsidRPr="009A13FA" w:rsidRDefault="009C0DFF" w:rsidP="009C0DFF">
      <w:pPr>
        <w:pStyle w:val="Paragraphbulleted"/>
        <w:numPr>
          <w:ilvl w:val="0"/>
          <w:numId w:val="0"/>
        </w:numPr>
        <w:spacing w:after="120"/>
        <w:ind w:firstLine="720"/>
        <w:rPr>
          <w:sz w:val="24"/>
        </w:rPr>
      </w:pPr>
      <w:r w:rsidRPr="009A13FA">
        <w:rPr>
          <w:sz w:val="24"/>
        </w:rPr>
        <w:lastRenderedPageBreak/>
        <w:t xml:space="preserve">In regions where the first-order gradient descent can fail the second-order variance gradient can still provide directional information. These regions may include local minima/maxima, plateaus, or saddle points, which can come from black box functions </w:t>
      </w:r>
      <w:sdt>
        <w:sdtPr>
          <w:rPr>
            <w:sz w:val="24"/>
          </w:rPr>
          <w:id w:val="1684626272"/>
          <w:citation/>
        </w:sdtPr>
        <w:sdtContent>
          <w:r w:rsidRPr="009A13FA">
            <w:rPr>
              <w:sz w:val="24"/>
            </w:rPr>
            <w:fldChar w:fldCharType="begin"/>
          </w:r>
          <w:r w:rsidRPr="009A13FA">
            <w:rPr>
              <w:sz w:val="24"/>
            </w:rPr>
            <w:instrText xml:space="preserve">CITATION Bot18 \l 1033 </w:instrText>
          </w:r>
          <w:r w:rsidRPr="009A13FA">
            <w:rPr>
              <w:sz w:val="24"/>
            </w:rPr>
            <w:fldChar w:fldCharType="separate"/>
          </w:r>
          <w:r w:rsidR="00FB3679" w:rsidRPr="00FB3679">
            <w:rPr>
              <w:noProof/>
              <w:sz w:val="24"/>
            </w:rPr>
            <w:t>[48]</w:t>
          </w:r>
          <w:r w:rsidRPr="009A13FA">
            <w:rPr>
              <w:sz w:val="24"/>
            </w:rPr>
            <w:fldChar w:fldCharType="end"/>
          </w:r>
        </w:sdtContent>
      </w:sdt>
      <w:r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Pr="009A13FA">
            <w:rPr>
              <w:sz w:val="24"/>
            </w:rPr>
            <w:fldChar w:fldCharType="begin"/>
          </w:r>
          <w:r w:rsidRPr="009A13FA">
            <w:rPr>
              <w:sz w:val="24"/>
            </w:rPr>
            <w:instrText xml:space="preserve"> CITATION Rob51 \l 1033 </w:instrText>
          </w:r>
          <w:r w:rsidRPr="009A13FA">
            <w:rPr>
              <w:sz w:val="24"/>
            </w:rPr>
            <w:fldChar w:fldCharType="separate"/>
          </w:r>
          <w:r w:rsidR="00FB3679" w:rsidRPr="00FB3679">
            <w:rPr>
              <w:noProof/>
              <w:sz w:val="24"/>
            </w:rPr>
            <w:t>[42]</w:t>
          </w:r>
          <w:r w:rsidRPr="009A13FA">
            <w:rPr>
              <w:sz w:val="24"/>
            </w:rPr>
            <w:fldChar w:fldCharType="end"/>
          </w:r>
        </w:sdtContent>
      </w:sdt>
      <w:r w:rsidRPr="009A13FA">
        <w:rPr>
          <w:sz w:val="24"/>
        </w:rPr>
        <w:t xml:space="preserve">. </w:t>
      </w:r>
    </w:p>
    <w:p w14:paraId="1929EF14" w14:textId="7B056139" w:rsidR="009C0DFF" w:rsidRDefault="00A916ED" w:rsidP="00DC33F6">
      <w:r w:rsidRPr="00A916ED">
        <w:drawing>
          <wp:inline distT="0" distB="0" distL="0" distR="0" wp14:anchorId="186FB601" wp14:editId="058CAD14">
            <wp:extent cx="5943600" cy="3134360"/>
            <wp:effectExtent l="0" t="0" r="0" b="8890"/>
            <wp:docPr id="17927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199" name=""/>
                    <pic:cNvPicPr/>
                  </pic:nvPicPr>
                  <pic:blipFill>
                    <a:blip r:embed="rId14"/>
                    <a:stretch>
                      <a:fillRect/>
                    </a:stretch>
                  </pic:blipFill>
                  <pic:spPr>
                    <a:xfrm>
                      <a:off x="0" y="0"/>
                      <a:ext cx="5943600" cy="3134360"/>
                    </a:xfrm>
                    <a:prstGeom prst="rect">
                      <a:avLst/>
                    </a:prstGeom>
                  </pic:spPr>
                </pic:pic>
              </a:graphicData>
            </a:graphic>
          </wp:inline>
        </w:drawing>
      </w:r>
    </w:p>
    <w:p w14:paraId="781090B8" w14:textId="32414466" w:rsidR="00A916ED" w:rsidRDefault="00A916ED" w:rsidP="00DC33F6">
      <w:r>
        <w:t>Figure 6 – Values recorded using the location of Deme 51 in the model. Drift velocity (top left), variance (top right), drift velocity w.r.t. alpha (bottom left), variance w.r.t. alpha (bottom right) vs. values of alpha.</w:t>
      </w:r>
    </w:p>
    <w:p w14:paraId="7FB55A14" w14:textId="77777777" w:rsidR="00A916ED" w:rsidRDefault="00A916ED" w:rsidP="00DC33F6"/>
    <w:p w14:paraId="6195E577" w14:textId="77777777" w:rsidR="00A916ED" w:rsidRDefault="00A916ED" w:rsidP="00960444">
      <w:pPr>
        <w:pStyle w:val="Paragraphbulleted"/>
        <w:numPr>
          <w:ilvl w:val="0"/>
          <w:numId w:val="0"/>
        </w:numPr>
        <w:spacing w:after="120"/>
        <w:rPr>
          <w:sz w:val="24"/>
          <w:highlight w:val="yellow"/>
        </w:rPr>
      </w:pPr>
    </w:p>
    <w:p w14:paraId="712E4A1E" w14:textId="4B283C16" w:rsidR="00960444" w:rsidRPr="00383F4D" w:rsidRDefault="00960444" w:rsidP="00960444">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4009D320" w14:textId="77777777" w:rsidR="009A6616" w:rsidRDefault="009A6616" w:rsidP="00960444"/>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w:t>
      </w:r>
      <w:proofErr w:type="gramStart"/>
      <w:r w:rsidRPr="00912FEE">
        <w:rPr>
          <w:highlight w:val="yellow"/>
        </w:rPr>
        <w:t>transitions</w:t>
      </w:r>
      <w:proofErr w:type="spellEnd"/>
      <w:r w:rsidRPr="00912FEE">
        <w:rPr>
          <w:highlight w:val="yellow"/>
        </w:rPr>
        <w:t>(</w:t>
      </w:r>
      <w:proofErr w:type="spellStart"/>
      <w:proofErr w:type="gramEnd"/>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xml:space="preserve">.  </w:t>
      </w:r>
      <w:r w:rsidRPr="009A13FA">
        <w:lastRenderedPageBreak/>
        <w:t>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w:t>
      </w:r>
      <w:r w:rsidR="002B3867" w:rsidRPr="009A13FA">
        <w:lastRenderedPageBreak/>
        <w:t>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5">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6">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A3BE01B-38ED-470D-8C0B-E53C26762D5E}"/>
    <w:embedItalic r:id="rId2" w:fontKey="{044DA879-DF6B-4D4B-AEBF-D68BF926F8B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DF3A715-9ED5-4A7C-85B1-E4E55481D793}"/>
  </w:font>
  <w:font w:name="Georgia">
    <w:panose1 w:val="02040502050405020303"/>
    <w:charset w:val="00"/>
    <w:family w:val="roman"/>
    <w:pitch w:val="variable"/>
    <w:sig w:usb0="00000287" w:usb1="00000000" w:usb2="00000000" w:usb3="00000000" w:csb0="0000009F" w:csb1="00000000"/>
    <w:embedRegular r:id="rId4" w:fontKey="{814D822E-76A0-4D70-80B7-3DE7CDD2CCDC}"/>
    <w:embedItalic r:id="rId5" w:fontKey="{DC0DC7D0-1FD7-4170-8B53-88C8352A6D30}"/>
  </w:font>
  <w:font w:name="Cambria Math">
    <w:panose1 w:val="02040503050406030204"/>
    <w:charset w:val="00"/>
    <w:family w:val="roman"/>
    <w:pitch w:val="variable"/>
    <w:sig w:usb0="E00006FF" w:usb1="420024FF" w:usb2="02000000" w:usb3="00000000" w:csb0="0000019F" w:csb1="00000000"/>
    <w:embedRegular r:id="rId6" w:fontKey="{5740C484-2219-4F4B-A184-95F94C493BE7}"/>
    <w:embedItalic r:id="rId7" w:fontKey="{88F56D29-8BAB-443B-8C94-23241D0A38BE}"/>
    <w:embedBoldItalic r:id="rId8" w:fontKey="{3C605ED3-6F16-4244-A8DE-410CEAB96061}"/>
  </w:font>
  <w:font w:name="Cambria">
    <w:panose1 w:val="02040503050406030204"/>
    <w:charset w:val="00"/>
    <w:family w:val="roman"/>
    <w:pitch w:val="variable"/>
    <w:sig w:usb0="E00006FF" w:usb1="420024FF" w:usb2="02000000" w:usb3="00000000" w:csb0="0000019F" w:csb1="00000000"/>
    <w:embedRegular r:id="rId9" w:fontKey="{A02568FC-3B92-4B19-A53E-1EE72305DF9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2605</TotalTime>
  <Pages>26</Pages>
  <Words>10891</Words>
  <Characters>62081</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218</cp:revision>
  <dcterms:created xsi:type="dcterms:W3CDTF">2025-11-30T15:48:00Z</dcterms:created>
  <dcterms:modified xsi:type="dcterms:W3CDTF">2026-07-27T01:24:00Z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