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Merge w:val="restart"/>
          </w:tcPr>
          <w:p>
            <w:r>
              <w:t>Région</w:t>
            </w:r>
          </w:p>
        </w:tc>
        <w:tc>
          <w:tcPr>
            <w:tcW w:type="dxa" w:w="6480"/>
            <w:gridSpan w:val="3"/>
          </w:tcPr>
          <w:p>
            <w:r>
              <w:t>Données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</w:tr>
      <w:tr>
        <w:tc>
          <w:tcPr>
            <w:tcW w:type="dxa" w:w="2160"/>
          </w:tcPr>
          <w:p>
            <w:r>
              <w:t>Île-de-France</w:t>
            </w:r>
          </w:p>
        </w:tc>
        <w:tc>
          <w:tcPr>
            <w:tcW w:type="dxa" w:w="2160"/>
          </w:tcPr>
          <w:p>
            <w:r>
              <w:t>1 200</w:t>
            </w:r>
          </w:p>
        </w:tc>
        <w:tc>
          <w:tcPr>
            <w:tcW w:type="dxa" w:w="2160"/>
          </w:tcPr>
          <w:p>
            <w:r>
              <w:t>1 500</w:t>
            </w:r>
          </w:p>
        </w:tc>
        <w:tc>
          <w:tcPr>
            <w:tcW w:type="dxa" w:w="2160"/>
          </w:tcPr>
          <w:p>
            <w:r>
              <w:t>1 600</w:t>
            </w:r>
          </w:p>
        </w:tc>
      </w:tr>
      <w:tr>
        <w:tc>
          <w:tcPr>
            <w:tcW w:type="dxa" w:w="2160"/>
          </w:tcPr>
          <w:p>
            <w:r>
              <w:t>Rhône-Alpes</w:t>
            </w:r>
          </w:p>
        </w:tc>
        <w:tc>
          <w:tcPr>
            <w:tcW w:type="dxa" w:w="2160"/>
          </w:tcPr>
          <w:p>
            <w:r>
              <w:t>1 800</w:t>
            </w:r>
          </w:p>
        </w:tc>
        <w:tc>
          <w:tcPr>
            <w:tcW w:type="dxa" w:w="2160"/>
          </w:tcPr>
          <w:p>
            <w:r>
              <w:t>2 000</w:t>
            </w:r>
          </w:p>
        </w:tc>
        <w:tc>
          <w:tcPr>
            <w:tcW w:type="dxa" w:w="2160"/>
          </w:tcPr>
          <w:p>
            <w:r>
              <w:t>2 100</w:t>
            </w:r>
          </w:p>
        </w:tc>
      </w:tr>
      <w:tr>
        <w:tc>
          <w:tcPr>
            <w:tcW w:type="dxa" w:w="2160"/>
          </w:tcPr>
          <w:p>
            <w:r>
              <w:t>Provence-Alpes-Côte d'Azur</w:t>
            </w:r>
          </w:p>
        </w:tc>
        <w:tc>
          <w:tcPr>
            <w:tcW w:type="dxa" w:w="2160"/>
          </w:tcPr>
          <w:p>
            <w:r>
              <w:t>950</w:t>
            </w:r>
          </w:p>
        </w:tc>
        <w:tc>
          <w:tcPr>
            <w:tcW w:type="dxa" w:w="2160"/>
          </w:tcPr>
          <w:p>
            <w:r>
              <w:t>1 050</w:t>
            </w:r>
          </w:p>
        </w:tc>
        <w:tc>
          <w:tcPr>
            <w:tcW w:type="dxa" w:w="2160"/>
          </w:tcPr>
          <w:p>
            <w:r>
              <w:t>1 100</w:t>
            </w:r>
          </w:p>
        </w:tc>
      </w:tr>
      <w:tr>
        <w:tc>
          <w:tcPr>
            <w:tcW w:type="dxa" w:w="2160"/>
          </w:tcPr>
          <w:p>
            <w:r>
              <w:t>Occitanie</w:t>
            </w:r>
          </w:p>
        </w:tc>
        <w:tc>
          <w:tcPr>
            <w:tcW w:type="dxa" w:w="2160"/>
          </w:tcPr>
          <w:p>
            <w:r>
              <w:t>1 100</w:t>
            </w:r>
          </w:p>
        </w:tc>
        <w:tc>
          <w:tcPr>
            <w:tcW w:type="dxa" w:w="2160"/>
          </w:tcPr>
          <w:p>
            <w:r>
              <w:t>1 250</w:t>
            </w:r>
          </w:p>
        </w:tc>
        <w:tc>
          <w:tcPr>
            <w:tcW w:type="dxa" w:w="2160"/>
          </w:tcPr>
          <w:p>
            <w:r>
              <w:t>1 350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