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Merge w:val="restart"/>
          </w:tcPr>
          <w:p>
            <w:r>
              <w:t>Category</w:t>
            </w:r>
          </w:p>
        </w:tc>
        <w:tc>
          <w:tcPr>
            <w:tcW w:type="dxa" w:w="3456"/>
            <w:gridSpan w:val="2"/>
          </w:tcPr>
          <w:p>
            <w:r>
              <w:t>Revenue</w:t>
            </w:r>
          </w:p>
        </w:tc>
        <w:tc>
          <w:tcPr>
            <w:tcW w:type="dxa" w:w="3456"/>
            <w:gridSpan w:val="2"/>
          </w:tcPr>
          <w:p>
            <w:r>
              <w:t>Cost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Q1</w:t>
            </w:r>
          </w:p>
        </w:tc>
        <w:tc>
          <w:tcPr>
            <w:tcW w:type="dxa" w:w="1728"/>
          </w:tcPr>
          <w:p>
            <w:r>
              <w:t>Q2</w:t>
            </w:r>
          </w:p>
        </w:tc>
        <w:tc>
          <w:tcPr>
            <w:tcW w:type="dxa" w:w="1728"/>
          </w:tcPr>
          <w:p>
            <w:r>
              <w:t>Q1</w:t>
            </w:r>
          </w:p>
        </w:tc>
        <w:tc>
          <w:tcPr>
            <w:tcW w:type="dxa" w:w="1728"/>
          </w:tcPr>
          <w:p>
            <w:r>
              <w:t>Q2</w:t>
            </w:r>
          </w:p>
        </w:tc>
      </w:tr>
      <w:tr>
        <w:tc>
          <w:tcPr>
            <w:tcW w:type="dxa" w:w="1728"/>
          </w:tcPr>
          <w:p>
            <w:r>
              <w:t>Product A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80</w:t>
            </w:r>
          </w:p>
        </w:tc>
        <w:tc>
          <w:tcPr>
            <w:tcW w:type="dxa" w:w="1728"/>
          </w:tcPr>
          <w:p>
            <w:r>
              <w:t>90</w:t>
            </w:r>
          </w:p>
        </w:tc>
      </w:tr>
      <w:tr>
        <w:tc>
          <w:tcPr>
            <w:tcW w:type="dxa" w:w="1728"/>
          </w:tcPr>
          <w:p>
            <w:r>
              <w:t>Product B</w:t>
            </w:r>
          </w:p>
        </w:tc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220</w:t>
            </w:r>
          </w:p>
        </w:tc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160</w:t>
            </w:r>
          </w:p>
        </w:tc>
      </w:tr>
      <w:tr>
        <w:tc>
          <w:tcPr>
            <w:tcW w:type="dxa" w:w="1728"/>
          </w:tcPr>
          <w:p>
            <w:r>
              <w:t>Product C</w:t>
            </w:r>
          </w:p>
        </w:tc>
        <w:tc>
          <w:tcPr>
            <w:tcW w:type="dxa" w:w="1728"/>
          </w:tcPr>
          <w:p>
            <w:r>
              <w:t>350</w:t>
            </w:r>
          </w:p>
        </w:tc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290</w:t>
            </w:r>
          </w:p>
        </w:tc>
        <w:tc>
          <w:tcPr>
            <w:tcW w:type="dxa" w:w="1728"/>
          </w:tcPr>
          <w:p>
            <w:r>
              <w:t>310</w:t>
            </w:r>
          </w:p>
        </w:tc>
      </w:tr>
      <w:tr>
        <w:tc>
          <w:tcPr>
            <w:tcW w:type="dxa" w:w="1728"/>
          </w:tcPr>
          <w:p>
            <w:r>
              <w:t>Product D</w:t>
            </w:r>
          </w:p>
        </w:tc>
        <w:tc>
          <w:tcPr>
            <w:tcW w:type="dxa" w:w="1728"/>
          </w:tcPr>
          <w:p>
            <w:r>
              <w:t>500</w:t>
            </w:r>
          </w:p>
        </w:tc>
        <w:tc>
          <w:tcPr>
            <w:tcW w:type="dxa" w:w="1728"/>
          </w:tcPr>
          <w:p>
            <w:r>
              <w:t>480</w:t>
            </w:r>
          </w:p>
        </w:tc>
        <w:tc>
          <w:tcPr>
            <w:tcW w:type="dxa" w:w="1728"/>
          </w:tcPr>
          <w:p>
            <w:r>
              <w:t>410</w:t>
            </w:r>
          </w:p>
        </w:tc>
        <w:tc>
          <w:tcPr>
            <w:tcW w:type="dxa" w:w="1728"/>
          </w:tcPr>
          <w:p>
            <w:r>
              <w:t>390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