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3C6" w:rsidRDefault="004B33C6" w:rsidP="004B33C6">
      <w:pPr>
        <w:pStyle w:val="NormalWeb"/>
      </w:pPr>
      <w:r>
        <w:rPr>
          <w:rFonts w:ascii="CMR17" w:hAnsi="CMR17"/>
          <w:sz w:val="34"/>
          <w:szCs w:val="34"/>
        </w:rPr>
        <w:t xml:space="preserve">Multi-scale Modelling of Conjugated Polymers to Understand the Role of Side Chain Chemistry in Mixed Ionic-Electronic Conduction </w:t>
      </w:r>
    </w:p>
    <w:p w:rsidR="004B33C6" w:rsidRDefault="004B33C6" w:rsidP="004B33C6">
      <w:pPr>
        <w:pStyle w:val="NormalWeb"/>
      </w:pPr>
      <w:r>
        <w:rPr>
          <w:rFonts w:ascii="CMBX12" w:hAnsi="CMBX12"/>
          <w:sz w:val="28"/>
          <w:szCs w:val="28"/>
        </w:rPr>
        <w:t xml:space="preserve">Abstract </w:t>
      </w:r>
    </w:p>
    <w:p w:rsidR="004B33C6" w:rsidRDefault="004B33C6" w:rsidP="004B33C6">
      <w:pPr>
        <w:pStyle w:val="NormalWeb"/>
      </w:pPr>
      <w:r>
        <w:rPr>
          <w:rFonts w:ascii="CMR12" w:hAnsi="CMR12"/>
        </w:rPr>
        <w:t xml:space="preserve">Nicholas Siemons, </w:t>
      </w:r>
      <w:proofErr w:type="spellStart"/>
      <w:r>
        <w:rPr>
          <w:rFonts w:ascii="CMR12" w:hAnsi="CMR12"/>
        </w:rPr>
        <w:t>Jarvist</w:t>
      </w:r>
      <w:proofErr w:type="spellEnd"/>
      <w:r>
        <w:rPr>
          <w:rFonts w:ascii="CMR12" w:hAnsi="CMR12"/>
        </w:rPr>
        <w:t xml:space="preserve"> Frost, Drew Pearce, and Jenny Nelson </w:t>
      </w:r>
    </w:p>
    <w:p w:rsidR="004B33C6" w:rsidRDefault="004B33C6" w:rsidP="004B33C6">
      <w:pPr>
        <w:pStyle w:val="NormalWeb"/>
      </w:pPr>
      <w:r>
        <w:rPr>
          <w:rFonts w:ascii="CMTI9" w:hAnsi="CMTI9"/>
          <w:sz w:val="18"/>
          <w:szCs w:val="18"/>
        </w:rPr>
        <w:t xml:space="preserve">Department of Physics, Imperial College London, Kensington, London, SW7 2AZ, UK </w:t>
      </w:r>
    </w:p>
    <w:p w:rsidR="004B33C6" w:rsidRDefault="004B33C6" w:rsidP="004B33C6">
      <w:pPr>
        <w:pStyle w:val="NormalWeb"/>
      </w:pPr>
      <w:r>
        <w:rPr>
          <w:rFonts w:ascii="CMR12" w:hAnsi="CMR12"/>
        </w:rPr>
        <w:t xml:space="preserve">March 26, 2020 </w:t>
      </w:r>
    </w:p>
    <w:p w:rsidR="004B33C6" w:rsidRDefault="004B33C6" w:rsidP="004B33C6">
      <w:r>
        <w:t>Organic electrochemical transistors (OECTs) have been gathering increasing interest due to their high reported</w:t>
      </w:r>
      <w:r>
        <w:t xml:space="preserve"> </w:t>
      </w:r>
      <w:r>
        <w:t>transconductance values,</w:t>
      </w:r>
      <w:r w:rsidRPr="004B33C6">
        <w:rPr>
          <w:vertAlign w:val="superscript"/>
        </w:rPr>
        <w:t>1, 2</w:t>
      </w:r>
      <w:r>
        <w:t xml:space="preserve"> high switching speeds</w:t>
      </w:r>
      <w:r w:rsidRPr="004B33C6">
        <w:rPr>
          <w:vertAlign w:val="superscript"/>
        </w:rPr>
        <w:t>3</w:t>
      </w:r>
      <w:r>
        <w:t xml:space="preserve"> and low bias operation,</w:t>
      </w:r>
      <w:r w:rsidRPr="004B33C6">
        <w:rPr>
          <w:vertAlign w:val="superscript"/>
        </w:rPr>
        <w:t>4</w:t>
      </w:r>
      <w:r>
        <w:t xml:space="preserve"> allowing for operation in aqueous electrolyte. Furthermore they have been shown to operate in a range of biological scenarios</w:t>
      </w:r>
      <w:r w:rsidRPr="004B33C6">
        <w:rPr>
          <w:vertAlign w:val="superscript"/>
        </w:rPr>
        <w:t>5–7</w:t>
      </w:r>
      <w:r>
        <w:t xml:space="preserve"> as well as being cheap to</w:t>
      </w:r>
    </w:p>
    <w:p w:rsidR="004B33C6" w:rsidRDefault="004B33C6" w:rsidP="004B33C6">
      <w:r>
        <w:t>manufacture.</w:t>
      </w:r>
      <w:r w:rsidRPr="004B33C6">
        <w:rPr>
          <w:vertAlign w:val="superscript"/>
        </w:rPr>
        <w:t>8–11</w:t>
      </w:r>
      <w:r>
        <w:t xml:space="preserve"> One of the challenges in designing accumulation mode OECTs is understanding the interplay between the ion-penetration into the channel and device performance (mixed ionic-electronic conduction).</w:t>
      </w:r>
      <w:r w:rsidRPr="004B33C6">
        <w:rPr>
          <w:vertAlign w:val="superscript"/>
        </w:rPr>
        <w:t>12</w:t>
      </w:r>
      <w:r>
        <w:t xml:space="preserve"> Recently</w:t>
      </w:r>
      <w:r>
        <w:t xml:space="preserve"> </w:t>
      </w:r>
      <w:r>
        <w:t>it has been shown that increasing the hydrophilicity of the active material through inclusion of ethelyne-glcyol units</w:t>
      </w:r>
    </w:p>
    <w:p w:rsidR="008F5198" w:rsidRDefault="004B33C6" w:rsidP="004B33C6">
      <w:r>
        <w:t>on the side chains can significantly improve device performance due to increased volumetric swelling of the channel.</w:t>
      </w:r>
      <w:r w:rsidRPr="004B33C6">
        <w:rPr>
          <w:vertAlign w:val="superscript"/>
        </w:rPr>
        <w:t>4, 13, 14</w:t>
      </w:r>
      <w:r>
        <w:t xml:space="preserve"> Furthermore it has been shown that crystallinity and crystal structure is important for understanding</w:t>
      </w:r>
      <w:r>
        <w:t xml:space="preserve"> </w:t>
      </w:r>
      <w:r>
        <w:t>how ion penetration affects hole mobility.</w:t>
      </w:r>
      <w:r w:rsidRPr="004B33C6">
        <w:rPr>
          <w:vertAlign w:val="superscript"/>
        </w:rPr>
        <w:t>15</w:t>
      </w:r>
      <w:r>
        <w:t xml:space="preserve"> We model two polymers based on poly-thiophene backbones with either</w:t>
      </w:r>
      <w:r>
        <w:t xml:space="preserve"> </w:t>
      </w:r>
      <w:r>
        <w:t>alkoxy- or glycoxy- sidechains (p(aT2) and p(gT2) respectively). We verify molecular dynamics forcefields against</w:t>
      </w:r>
      <w:r>
        <w:t xml:space="preserve"> </w:t>
      </w:r>
      <w:r>
        <w:t>monomer crystal structures, allowing us to accurately simulate the respective polymer crystals. Furthermore we</w:t>
      </w:r>
      <w:r>
        <w:t xml:space="preserve"> </w:t>
      </w:r>
      <w:r>
        <w:t>extend our simulations to include the aqueous electrolyte, as polymer-ion interactions are critical to understanding</w:t>
      </w:r>
      <w:r>
        <w:t xml:space="preserve"> t</w:t>
      </w:r>
      <w:r>
        <w:t>he operation of OECTs and how materials could be further tuned through changing</w:t>
      </w:r>
      <w:r w:rsidR="00F30A1A">
        <w:t xml:space="preserve"> the</w:t>
      </w:r>
      <w:r>
        <w:t xml:space="preserve"> side chain chemistry.</w:t>
      </w:r>
    </w:p>
    <w:p w:rsidR="004B33C6" w:rsidRDefault="004B33C6" w:rsidP="004B33C6"/>
    <w:p w:rsidR="004B33C6" w:rsidRDefault="004B33C6" w:rsidP="004B33C6"/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[1]  Dion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Khodagholy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Rivnay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Michele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Sessolo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Moshe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Gurfinkel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Pierre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Leleux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Leslie H.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Jimison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Eleni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Stavrinidou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Thierry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Herve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S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ebastien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Sanaur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Ro ́is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ın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M. Owens, and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High transconductance organic electro- chemical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Nature Communications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4:1–6, 2013.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[2]  Dion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Khodagholy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Thomas Doublet, Pascale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Quilichini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Moshe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Gurfinkel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Pierre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Leleux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Antoine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Ghestem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Esma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Ismailova, Thierry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Herv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́e, S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ebastien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Sanaur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Christophe Bernard, and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In vivo recordings of brain activity using organic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Nature Communications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4, 2013.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[3]  Achilleas Savva, Camila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Cendra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Andrea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Giugni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Bruno Torre,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Jokubas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Surgailis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David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Ohayon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Alexander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Giovannitti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Iain McCulloch, Enzo Di Fabrizio, Alberto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Salleo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nay, and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Sahika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Influence of Water on the Performance of Organic Electrochemical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 xml:space="preserve">Chemistry of Mate- </w:t>
      </w:r>
      <w:proofErr w:type="spellStart"/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rials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31(3):927–937, 2019.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[4]  Alexander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Giovannitti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Dan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Tiberiu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Sbircea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Sahika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Christian B. Nielsen, Enrico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Bandiello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David A.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Hanifi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Michele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Sessolo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Iain McCulloch, and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Rivnay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Controlling the mode of operation of or-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ganic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transistors through side-chain engineering.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Proceedings of the National Academy of Sciences of the United States of America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113(43):12017–12022, 2016.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[5]  Kevin J Fraser, Sang Yoon Yang, Fabio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Cicoira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Vin-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cenzo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F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Curto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Robert Byrne, Fernando Benito-Lopez, Dion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Khodagholy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R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ois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ın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M Owens, George G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Der- mot Diamond. Electrochemical transistors with ionic liquids for enzymatic sensing. In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Organic Semiconductors in Sensors and Bioelectronics IV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volume 8118, page 81180U.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Interna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tional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Society for Optics and Photonics, 2011.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[6]  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NaYoungShim,DanielABernards,DanielJMacaya,JohnA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DeFranco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Maria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Nikolou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Ro ́is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ın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M Owens, and George G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All-plastic electrochemical transistor for glucose sensing using a ferrocene mediator.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Sensors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9(12):9896–9902, 2009.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lastRenderedPageBreak/>
        <w:t xml:space="preserve">[7]  Michele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Sessolo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Dion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Khodagholy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George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Simple patterning of conducting polymers and biomolecules.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Transactions of Japanese Society for Medical and Biological Engineering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51(Supplement):R–301, 2013.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[8]  Thomas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Blaudeck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Peter Andersson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Ersman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Mats Sandberg, Sebastian Heinz, Ari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Laiho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Jiang Liu,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Isak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Engquist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Magnus Berggren, and Reinhard R Baumann. Simplified large-area manufacturing of organic electrochemical transistors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combin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ing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printing and a self-aligning laser ablation step.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Advanced Functional Materials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22(14):2939–2948, 2012.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[9]  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LauraBasiric`o,PieroCosseddu,BeatriceFraboni,andAnnal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isa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Bonfiglio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Inkjet printing of transparent, flexible, organic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Thin Solid Films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520(4):1291–1294, 2011.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[10]  Laura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Basiric`o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Piero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Cosseddu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Scid`a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Beatrice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Fraboni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GG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Annalisa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Bonfiglio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Electrical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characteris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tics of ink-jet printed, all-polymer electrochemical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Organic Electronics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13(2):244–248, 2012. </w:t>
      </w:r>
    </w:p>
    <w:p w:rsidR="004B33C6" w:rsidRPr="004B33C6" w:rsidRDefault="004B33C6" w:rsidP="004B33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[11]  Fredrik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Pettersson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Janne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Koskela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Carl-Johan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Wikman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Tommi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Remonen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Carl-Eric Wil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en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Ari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Kilpela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̈, and Ronald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Osterbacka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Patterned membrane as substrate and electrolyte in depletion-and enhancement mode ion-modulated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transis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IEEE Journal of the Electron Devices Society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3(2):58– 66, 2014. </w:t>
      </w:r>
    </w:p>
    <w:p w:rsidR="004B33C6" w:rsidRPr="004B33C6" w:rsidRDefault="004B33C6" w:rsidP="004B33C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[12]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Sahika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Rivnay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Pierre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Leleux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Marc Ferro, Marc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Ramuz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Johannes C. Brendel, Martina M. Schmidt,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Mukundan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Thelakkat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A high transconductance accumulation mode electrochemical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transis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tor.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Advanced Materials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26(44):7450–7455, 2014. </w:t>
      </w:r>
    </w:p>
    <w:p w:rsidR="004B33C6" w:rsidRPr="004B33C6" w:rsidRDefault="004B33C6" w:rsidP="004B33C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[13] Alexander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Giovannitti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Iuliana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P. Maria, David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Hanifi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Mary J. Donahue, Daniel Bryant, Katrina J. Barth, Beat- rice E.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Makdah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Achilleas Savva, Davide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Moia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, Maty ́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aˇs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Zetek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Piers R.F. Barnes, Obadiah G. Reid,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Sahika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Garry Rum-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bles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Jenny Nelson,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Rivnay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Iain McCulloch. The Role of the Side Chain on the Per-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formance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of N-type Conjugated Polymers in Aqueous Elec-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trolytes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Chemistry of Materials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30(9):2945–2953, 2018. </w:t>
      </w:r>
    </w:p>
    <w:p w:rsidR="004B33C6" w:rsidRPr="004B33C6" w:rsidRDefault="004B33C6" w:rsidP="004B33C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[14]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Sahika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Inal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Jonathan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Rivnay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Anna I. Hofmann,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Ilke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Uguz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Muhammad Mumtaz,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Dimitrios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Katsigiannopoulos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Cyril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Brochon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Eric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Cloutet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Georges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Hadziioannou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and George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Malliaras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. Organic electrochemical transistors based on PE- DOT with different anionic polyelectrolyte dopants.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Journal of Polymer Science, Part B: Polymer Physics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54(2):147–151, 2016. </w:t>
      </w:r>
    </w:p>
    <w:p w:rsidR="004B33C6" w:rsidRPr="004B33C6" w:rsidRDefault="004B33C6" w:rsidP="004B33C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[15] Lucas Q. Flagg, Connor G.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Bischak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Jonathan W.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Onorato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Reem B. Rashid, Christine K. Luscombe, and David S. Gin- ger. Polymer Crystallinity Controls Water Uptake in </w:t>
      </w:r>
      <w:proofErr w:type="spellStart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>Gly</w:t>
      </w:r>
      <w:proofErr w:type="spellEnd"/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- col Side-Chain Polymer Organic Electrochemical Transistors. </w:t>
      </w:r>
      <w:r w:rsidRPr="004B33C6">
        <w:rPr>
          <w:rFonts w:ascii="CMTI8" w:eastAsia="Times New Roman" w:hAnsi="CMTI8" w:cs="Times New Roman"/>
          <w:sz w:val="16"/>
          <w:szCs w:val="16"/>
          <w:lang w:eastAsia="en-GB"/>
        </w:rPr>
        <w:t>Journal of the American Chemical Society</w:t>
      </w:r>
      <w:r w:rsidRPr="004B33C6">
        <w:rPr>
          <w:rFonts w:ascii="CMR8" w:eastAsia="Times New Roman" w:hAnsi="CMR8" w:cs="Times New Roman"/>
          <w:sz w:val="16"/>
          <w:szCs w:val="16"/>
          <w:lang w:eastAsia="en-GB"/>
        </w:rPr>
        <w:t xml:space="preserve">, 141(10):4345– 4354, 2019. </w:t>
      </w:r>
    </w:p>
    <w:p w:rsidR="004B33C6" w:rsidRDefault="004B33C6" w:rsidP="004B33C6"/>
    <w:sectPr w:rsidR="004B33C6" w:rsidSect="00E27B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TI9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TI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25BB"/>
    <w:multiLevelType w:val="multilevel"/>
    <w:tmpl w:val="59D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C6"/>
    <w:rsid w:val="004B33C6"/>
    <w:rsid w:val="008F5198"/>
    <w:rsid w:val="00E27BB2"/>
    <w:rsid w:val="00F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412B"/>
  <w15:chartTrackingRefBased/>
  <w15:docId w15:val="{CFEC4DF6-9A8E-1243-8347-EF5FD253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3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B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Siemons, Nick</dc:creator>
  <cp:keywords/>
  <dc:description/>
  <cp:lastModifiedBy>Siemons, Nick</cp:lastModifiedBy>
  <cp:revision>2</cp:revision>
  <dcterms:created xsi:type="dcterms:W3CDTF">2020-03-27T12:40:00Z</dcterms:created>
  <dcterms:modified xsi:type="dcterms:W3CDTF">2020-03-27T12:50:00Z</dcterms:modified>
</cp:coreProperties>
</file>