
<file path=[Content_Types].xml><?xml version="1.0" encoding="utf-8"?>
<Types xmlns="http://schemas.openxmlformats.org/package/2006/content-types">
  <Default Extension="svg" ContentType="image/svg+xml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r="http://schemas.openxmlformats.org/officeDocument/2006/relationships" xmlns:xml="http://www.w3.org/XML/1998/namespace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80" w:line="320" w:lineRule="auto"/>
      </w:pPr>
      <w:r>
        <w:rPr>
          <w:rFonts w:ascii="Aptos" w:hAnsi="Aptos" w:eastAsia="Microsoft YaHei"/>
          <w:sz w:val="40"/>
          <w:szCs w:val="40"/>
          <w:color w:val="000000"/>
          <w:b/>
          <w:bCs/>
        </w:rPr>
        <w:t>PharmaColdOps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冷链药品温度偏移处置与配送改派决策支持原型</w:t>
      </w:r>
    </w:p>
    <w:p>
      <w:pPr>
        <w:spacing w:before="0" w:after="80" w:line="276" w:lineRule="auto"/>
      </w:pPr>
      <w:r>
        <w:rPr>
          <w:rFonts w:ascii="Aptos" w:hAnsi="Aptos" w:eastAsia="Microsoft YaHei"/>
          <w:sz w:val="23"/>
          <w:szCs w:val="23"/>
          <w:color w:val="000000"/>
          <w:b/>
          <w:bCs/>
        </w:rPr>
        <w:t>正式项目提案（4 人团队）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课程：IRS 实践模块 · 团队规模：4 人（每人约 10 人日） 提案提交截止：2026-09-13 · 最终提交截止：2026-10-25 本版更新：2026-09-12 · 状态：内容修订稿，尚待团队终审与提交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组号：待填写。成员姓名及学号或脱敏 ID：待填写；本文以 A/B/C/D 表示职责。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1. 项目概述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PharmaColdOps 面向药品冷链运输与仓储中的温度偏移评估，以确定性规则引擎产生可追溯的处置建议，并将补发需求连接到配送优化与知识图谱查询。批次处置分为放行、隔离、复检和报废四类；补发是独立物流动作，不是第五个互斥处置类别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项目覆盖 IRS 的决策自动化、资源优化、知识发现与数据挖掘、认知系统四个技术组。交付目标是在受控的新加坡配送算例中演示“温度事件 → 处置建议 → 补发单 → 配送方案 → 证据查询”的最小闭环。风险预测与候选根因分类作为离线实验，不进入处置 API。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截至 2026-09-12，规则引擎、双语界面、独立标注场景库、离线 ML 基线、新加坡路线求解及 KG 结案写入代码已有成果；2026-09-13 事件触发路线求解（/api/route 按已结案案例求解补发路线）与前端真实图谱问答（/api/qa 查询真实图谱并返回证据）已在本地 Neo4j 上完成端到端复核。本原型不替代质量负责人的最终审批，不宣称已通过生产环境或正式合规验证。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2. 问题定义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温度偏移发生后，质量人员需要核对产品要求、偏移条件与包装信息，记录评估理由，再协调后续供应。项目关注三个可验证的问题：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同一套书面规则能否被稳定实现，并暴露规则文本与人工判断之间的分歧？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在车辆容量与配送时间窗约束下，优化方案相对贪心基线能改善多少距离和服务可行性？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用户能否从结案记录追溯输入、规则路径与证据，并在缺少记录时获得明确反馈？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减少人工评估时间、避免不当处置和缓解供应中断是预期业务价值。当前没有真实运营对照试验，不能将其表述为已量化实现的收益。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3. 背景与领域基础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3.1 法规原则与适用边界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领域知识来源包括 WHO TRS 961 Annex 9、EU GDP 2013/C 343/01、ICH 稳定性与质量风险管理指南，以及 CDC/WHO 公开程序性指引。具体产品的可接受偏移窗口仍需对应产品的稳定性证据。WHO (https://www.who.int/publications/m/item/trs961-annex9-modelguidanceforstoragetransport)、EU GDP (https://eur-lex.europa.eu/legal-content/EN/TXT/?uri=CELEX%3A32013C0343)、ICH (https://www.ich.org/page/quality-guidelines)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本项目区分公开领域原则、产品稳定性资料和工程假设。当前配置记录了来源与限制，但允许偏移时长、MKT 阈值、部分复检设置及规则倍率仍含工程假设，不是法规直接给出的通用数值。关联法规节点不证明某个阈值已得到产品级验证。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CDC 的疫苗偏移指引要求暂停使用受影响疫苗，并联系免疫项目或厂商获取处置指导。本原型输出应理解为待质量复核的建议，不能用演示阈值直接授权实际产品放行或销毁。CDC 储存与处理指南 (https://www.cdc.gov/pinkbook/hcp/table-of-contents/chapter-5-vaccine-storage-and-handling.html)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3.2 相关工作与方法选择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Solomon 的 VRPTW 基准提供带容量和时间窗的标准配送问题。本项目用 6 个实例比较算法，再用新加坡道路矩阵展示地理场景。OR-Tools Routing Solver 提供路径构造与局部搜索，本项目采用限时 Guided Local Search。Solomon, 1987 (https://doi.org/10.1287/opre.35.2.254)、OR-Tools (https://developers.google.com/optimization/routing/routing_options)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风险实验采用逻辑回归、LightGBM 和 XGBoost；SHAP 用于解释模型对表格特征的依赖。认知模块采用结构化图谱和模板查询，范围限定为已存储案例、规则及证据。方法原始论文见 §14。特征归因和观察数据上的原因分类不等于因果识别。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项目贡献是上述方法在受控流程中的集成与可复现评估，不主张提出新基础算法或首次将这些技术用于冷链。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3.3 市场背景与定位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商业产品已覆盖温度监控、运输可视化和部分质量流程自动化。例如，Controlant 的 Product Stability Automation 描述了依据产品稳定性档案自动确定放行状态的能力，不能把现有厂商概括为“只告警、没有处置能力”。Controlant 产品说明 (https://www.controlant.com/applications)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本项目定位为可检查规则、可复现实验、可演示配送联动的教学研究原型。比较维度包括规则透明度、证据追溯、配送接口和部署范围；未核实的竞品能力标为未知，不把缺少公开说明视作功能不存在。市场价值仍需用户访谈和运营数据检验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188970"/>
            <wp:effectExtent l="0" t="0" r="0" b="0"/>
            <wp:docPr id="1" name="图 1 能力与范围对照" descr="图 1 能力与范围对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图 1 能力与范围对照"/>
                    <pic:cNvPicPr>
                      <a:picLocks noChangeAspect="1" noChangeArrowheads="1"/>
                    </pic:cNvPicPr>
                  </pic:nvPicPr>
                  <pic:blipFill>
                    <a:blip r:embed="rIdImg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1：</w:t>
      </w:r>
      <w:r>
        <w:rPr>
          <w:rFonts w:ascii="Aptos" w:hAnsi="Aptos" w:eastAsia="Microsoft YaHei"/>
          <w:sz w:val="21"/>
          <w:szCs w:val="21"/>
          <w:color w:val="000000"/>
        </w:rPr>
        <w:t>冷链决策支持能力与本项目范围，不是竞品性能排名。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4. 利益相关方与预期价值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用户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工作需求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原型支持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质量负责人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复核偏移与处置依据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输入快照、规则路径、证据来源和限制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物流调度员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根据补发需求安排配送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容量与时间窗约束下的候选路线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仓储与运输主管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调查异常相关因素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离线风险分析与候选原因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审计人员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重建一次评估过程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结案记录、关联标识与证据查询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最终审批与配送执行由人员负责。项目不收集患者数据，不评估临床结局。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5. 总体系统方案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5.1 目标工作流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1. 输入有明确产品类别的温度事件。当前通过表单或演示数据输入，序列解析为后续数据任务。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2. 规则引擎返回四类处置之一、补发标志、规则编号、理由和证据状态。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3. 质量人员复核建议。当前结案仅保存输入与系统建议；最终人工决定、审批人和执行结果字段待设计。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4. 需要补发时，依据已定契约生成含目的地、数量与时间窗的模拟补发单，触发单仓求解（/api/route 按 run_id 读取已结案案例）。该连接已于 2026-09-12 落地，并在 9/13 完成端到端复核。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5. 关联案例和配送结果，展示站序、距离、排程与未服务订单，并查询本次案例的图谱证据。案例—订单—路线—证据的关联与前端查询接线已于 2026-09-12 接通（离线模式保留固定演示路线与关键词问答兜底）。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结案归档不等于获得真实业务结果。自动反馈学习不在 MVP 内。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5.2 当前进展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模块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截至 2026-09-12 的状态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待补齐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M1 数据准备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数据、字典、许可核实及审计脚本已有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任务定义和复现环境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M2 事件生成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演示导出已有，MKT 为单点近似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序列窗口、MKT 实现与验证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M3 规则引擎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4 类别原型、6 规则、API、57 场景人工 gold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领域复核、分歧分析和正式评估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M4 风险与原因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LR/LGBM/XGB、SHAP、10 类原因实验已有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多折实验、特征可用性与失败分析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M5 配送优化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贪心、Routing Solver、真实路网已有；补发契约与事件触发求解 9/12 落地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替代库存选择、多温区与碳排放目标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M6 图谱问答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schema、加载、结案写入、查询函数已有；HTTP 与前端接线 9/12 落地，9/13 完成数据库端到端验证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四态状态字段与问答评估集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M7 集成展示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Vue 双语、离线/API 双模式、结案历史已有；结案→路线→证据闭环 9/12–9/13 接通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失败态细化与干净环境复现</w:t>
            </w:r>
          </w:p>
        </w:tc>
      </w:tr>
    </w:tbl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6. 技术方案与 IRS 技术映射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6.1 技术映射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4680"/>
        <w:gridCol w:w="4680"/>
      </w:tblGrid>
      <w:tr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IRS 技术组</w:t>
            </w:r>
          </w:p>
        </w:tc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实现与评估对象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决策自动化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确定性优先规则、四类处置与独立补发动作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资源优化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贪心与 OR-Tools Routing Solver 的容量约束 VRPTW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知识发现与数据挖掘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运输级失效分类、设施级候选原因分类、SHAP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认知系统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Neo4j、模板 Cypher 查询和证据追溯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M1 和 M7 为工程支撑。ML 分数不进入决策 API，规则引擎是在线处置建议的唯一语义来源。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6.2 规则处置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输入为产品类别、偏移温度、持续分钟数、MKT、包装状态和运输阶段。阶段目前随记录保存，不改变规则分支；历史异常尚未作为判定特征。4 个类别原型为 vaccine_2_8、frozen_m20、insulin_2_8、mrna_ultracold，均不代表已验证的品牌产品配置。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规则按优先级匹配，首条命中即结束：冻结风险、包装破损并超温、严重时长/MKT 越限、一般时长/MKT 越限、可复检产品近限值、其余情形。输出为 release / quarantine / retest / scrap。当前在 quarantine 或 scrap 时将 reshipment_required 设为 true，这是需单独验证的物流默认策略。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行为源为 rules_config.json 和 Python 引擎，前端离线版实现相同语义。沙箱覆盖值仅作用于当前请求，并随结案保存。非冻敏产品低温越界、单阈值近似多级稳定性窗口，以及第 4 条隔离/报废政策仍有已知限制。不会为了提高 gold 一致率直接修改规则或标签。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838575"/>
            <wp:effectExtent l="0" t="0" r="0" b="0"/>
            <wp:docPr id="2" name="图 2 规则与输出语义" descr="图 2 规则与输出语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图 2 规则与输出语义"/>
                    <pic:cNvPicPr>
                      <a:picLocks noChangeAspect="1" noChangeArrowheads="1"/>
                    </pic:cNvPicPr>
                  </pic:nvPicPr>
                  <pic:blipFill>
                    <a:blip r:embed="rIdImg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2：</w:t>
      </w:r>
      <w:r>
        <w:rPr>
          <w:rFonts w:ascii="Aptos" w:hAnsi="Aptos" w:eastAsia="Microsoft YaHei"/>
          <w:sz w:val="21"/>
          <w:szCs w:val="21"/>
          <w:color w:val="000000"/>
        </w:rPr>
        <w:t>四类处置与独立补发标志。阈值含原型假设，建议须经质量复核。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6.3 风险分类与候选原因分析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风险任务以 8,000 条运输级摘要中的 silent_failure 为目标，比较 LR、LightGBM、XGBoost，并对可解释特征与加入匿名特征的版本作对照。当前采用 70/15/15 分层随机划分，验证集选择 F1 阈值，填补与缩放仅在训练集拟合。特征包括运输时长、温度摘要、开门次数和湿度统计，不能直接表述为使用当前 API 的 MKT 或阶段字段。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该数据没有时间戳，也没有相对预测时刻定义的前瞻标签，因此定位为运输级失效分类，不声称提前 30/60 分钟预警。界面风险指数与 cause_code 来自确定性启发式，不是 ML 推理结果。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候选原因任务在设施月度仿真数据的 16,192 条热/冻偏移记录上区分 10 类原因，当前采用 80/20 分层随机划分。特征为设备、电源、监测及疫苗上下文；需检查诊断时可用性及同设施记录跨集合的影响。结果列能否作为输入应按任务时点论证。SHAP 表示模型关联，不证明设备故障的因果关系。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6.4 配送优化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模型为单仓、同容量车辆、客户服务时间窗、服务时长及返仓时限约束的 VRPTW，目标是最小化行驶距离。实现使用 RoutingModel、PATH_CHEAPEST_ARC 初解和 GUIDED_LOCAL_SEARCH，不是 CP-SAT；限时解没有全局最优保证。贪心可行解是比较基线，不是目标函数下界。OR-Tools 文档 (https://developers.google.com/optimization/routing/routing_options)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6 个 Solomon 实例用于标准比较；新加坡算例包含 1 仓、10 医院与真实 OSM 有向矩阵，距离为 km、时间为 min。时间是自由流估计，不含实时拥堵。需求、车队及服务窗口均为模拟假设，不表示设施间存在真实业务关系。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在线模式下 Vue 按已结案案例实时求解并展示路线，离线或未结案时回退预计算演示路线；温度变化本身不触发重求解。单仓补发单到求解器的映射已于 9/12 落地；替代库存选择、多温区、碳排放和报废损失目标列为扩展。遗传算法仅在主链验收后考虑，不作为必交算法。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366135"/>
            <wp:effectExtent l="0" t="0" r="0" b="0"/>
            <wp:docPr id="3" name="图 3 新加坡配送算例" descr="图 3 新加坡配送算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图 3 新加坡配送算例"/>
                    <pic:cNvPicPr>
                      <a:picLocks noChangeAspect="1" noChangeArrowheads="1"/>
                    </pic:cNvPicPr>
                  </pic:nvPicPr>
                  <pic:blipFill>
                    <a:blip r:embed="rIdImg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3：</w:t>
      </w:r>
      <w:r>
        <w:rPr>
          <w:rFonts w:ascii="Aptos" w:hAnsi="Aptos" w:eastAsia="Microsoft YaHei"/>
          <w:sz w:val="21"/>
          <w:szCs w:val="21"/>
          <w:color w:val="000000"/>
        </w:rPr>
        <w:t>真实路网、模拟业务及已记录的限时结果，非实时车辆跟踪。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6.5 知识图谱与问答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Neo4j 图谱包含 Product、Regulation、SOP、ExcursionEvent、Disposition、Cause、Facility、Shipment、ReshipmentOrder 等实体。法规、公开程序性指引、产品配置、新加坡设施与数据集记录保留来源语义。Kaggle 的约 8,000 条运输级记录真实性未确认、疑似合成，不称为真实药企运输记录；匿名区域不能直接映射到新加坡医院。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case_close 保存记录并尝试写入图谱，decide 预览不归档。Cause 目前来自 API 启发式原因代码，不是 ML 推断或调查证实的根因。补发单在调用 /api/route 时按案例求解，但求解不代表订单已执行（不产生任何实际运输动作）。日志与图谱均采用尽力保存，尚不具备审计级持久性保证。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Python 已有按 run_id 查询处置理由、审计链、产品要求及统计的函数。</w:t>
      </w:r>
      <w:r>
        <w:rPr>
          <w:rFonts w:ascii="Aptos" w:hAnsi="Aptos" w:eastAsia="Microsoft YaHei"/>
          <w:sz w:val="21"/>
          <w:szCs w:val="21"/>
          <w:color w:val="000000"/>
          <w:b/>
          <w:bCs/>
        </w:rPr>
        <w:t>2026-09-13 起 /api/qa 已从 501 变为真实现</w:t>
      </w:r>
      <w:r>
        <w:rPr>
          <w:rFonts w:ascii="Aptos" w:hAnsi="Aptos" w:eastAsia="Microsoft YaHei"/>
          <w:sz w:val="21"/>
          <w:szCs w:val="21"/>
          <w:color w:val="000000"/>
        </w:rPr>
        <w:t>：受限意图识别（客户端把问句映射到 5 类结构化问题：为何这样判定 / 审计链 / 产品要求 / 该原因最常见场景 / 处置统计，非自然语言分类）+ 参数化 Cypher，返回本次案例的证据节点；前端 Vue 在线模式直接调用该端点，离线保留关键词模板兜底。已在 docker compose 启动的 Neo4j 上完成数据库端到端验证（结案 → 写图谱 → 按案例查证据，证据集合与触发规则的法规/SOP 映射逐条一致；全量 132 passed / 0 failed / 0 xfailed）。</w:t>
      </w:r>
      <w:r>
        <w:rPr>
          <w:rFonts w:ascii="Aptos" w:hAnsi="Aptos" w:eastAsia="Microsoft YaHei"/>
          <w:sz w:val="21"/>
          <w:szCs w:val="21"/>
          <w:color w:val="000000"/>
          <w:b/>
          <w:bCs/>
        </w:rPr>
        <w:t>同日补齐四态、证据作用域与评估</w:t>
      </w:r>
      <w:r>
        <w:rPr>
          <w:rFonts w:ascii="Aptos" w:hAnsi="Aptos" w:eastAsia="Microsoft YaHei"/>
          <w:sz w:val="21"/>
          <w:szCs w:val="21"/>
          <w:color w:val="000000"/>
        </w:rPr>
        <w:t>：响应带机器可读的 status（ok / 无案例 / 证据不足 / 不支持的问题；数据库故障仍以 503 表达），前端按状态渲染本地化提示；补发单与补发目的地已进入审计链的证据与答案；「该原因最常见场景」由本案例主因码聚合全部结案的 stage/product 分布；并修正 CITES 原先挂在共享 Disposition 节点上、导致同处置不同规则的案例互相串证据的缺陷（现为案例级）。问答评估集与评测脚本见 data/qa/ 与 scripts/evaluate_qa.py：57 条场景上</w:t>
      </w:r>
      <w:r>
        <w:rPr>
          <w:rFonts w:ascii="Aptos" w:hAnsi="Aptos" w:eastAsia="Microsoft YaHei"/>
          <w:sz w:val="21"/>
          <w:szCs w:val="21"/>
          <w:color w:val="000000"/>
          <w:b/>
          <w:bCs/>
        </w:rPr>
        <w:t>466/466</w:t>
      </w:r>
      <w:r>
        <w:rPr>
          <w:rFonts w:ascii="Aptos" w:hAnsi="Aptos" w:eastAsia="Microsoft YaHei"/>
          <w:sz w:val="21"/>
          <w:szCs w:val="21"/>
          <w:color w:val="000000"/>
        </w:rPr>
        <w:t>派生检查通过（期望值取自静态映射与 rules_config.json，非循环验证），意图分类准确率待人工标注。</w:t>
      </w:r>
      <w:r>
        <w:rPr>
          <w:rFonts w:ascii="Aptos" w:hAnsi="Aptos" w:eastAsia="Microsoft YaHei"/>
          <w:sz w:val="21"/>
          <w:szCs w:val="21"/>
          <w:color w:val="000000"/>
          <w:b/>
          <w:bCs/>
        </w:rPr>
        <w:t>仍未完成</w:t>
      </w:r>
      <w:r>
        <w:rPr>
          <w:rFonts w:ascii="Aptos" w:hAnsi="Aptos" w:eastAsia="Microsoft YaHei"/>
          <w:sz w:val="21"/>
          <w:szCs w:val="21"/>
          <w:color w:val="000000"/>
        </w:rPr>
        <w:t>：结案表单尚未传异常地点/补发目的地（设施级证据需经 API 传参才会出现）；重复结案尚无去重。评估要求证据与具体规则匹配，不能以“有法规链接”代替验证。LLM 不属于 MVP 必需组件。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779520"/>
            <wp:effectExtent l="0" t="0" r="0" b="0"/>
            <wp:docPr id="4" name="图 4 图谱概念与写入边界" descr="图 4 图谱概念与写入边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图 4 图谱概念与写入边界"/>
                    <pic:cNvPicPr>
                      <a:picLocks noChangeAspect="1" noChangeArrowheads="1"/>
                    </pic:cNvPicPr>
                  </pic:nvPicPr>
                  <pic:blipFill>
                    <a:blip r:embed="rIdImg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4：</w:t>
      </w:r>
      <w:r>
        <w:rPr>
          <w:rFonts w:ascii="Aptos" w:hAnsi="Aptos" w:eastAsia="Microsoft YaHei"/>
          <w:sz w:val="21"/>
          <w:szCs w:val="21"/>
          <w:color w:val="000000"/>
        </w:rPr>
        <w:t>案例链视图；设施、运输与路线的关联由输入契约给定（异常地点/补发目的地字段已定义，结案表单尚未传入）。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543300"/>
            <wp:effectExtent l="0" t="0" r="0" b="0"/>
            <wp:docPr id="5" name="图 4b Neo4j Browser 实拍：一个结案案例的图谱链路" descr="图 4b Neo4j Browser 实拍：一个结案案例的图谱链路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图 4b Neo4j Browser 实拍：一个结案案例的图谱链路"/>
                    <pic:cNvPicPr>
                      <a:picLocks noChangeAspect="1" noChangeArrowheads="1"/>
                    </pic:cNvPicPr>
                  </pic:nvPicPr>
                  <pic:blipFill>
                    <a:blip r:embed="rIdImg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4b：</w:t>
      </w:r>
      <w:r>
        <w:rPr>
          <w:rFonts w:ascii="Aptos" w:hAnsi="Aptos" w:eastAsia="Microsoft YaHei"/>
          <w:sz w:val="21"/>
          <w:szCs w:val="21"/>
          <w:color w:val="000000"/>
        </w:rPr>
        <w:t>2026-09-13 从 Neo4j Browser 实拍的一个结案案例链路（9 节点 / 8 类关系）：超限事件 → 主因与处置 + 该规则引用的法规与 SOP → 发生设施与补发目的地；顶部为实际执行的查询语句（可复现），右侧列举各节点/关系类型及计数。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9212580"/>
            <wp:effectExtent l="0" t="0" r="0" b="0"/>
            <wp:docPr id="6" name="演示 决策沙盒" descr="演示 决策沙盒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演示 决策沙盒"/>
                    <pic:cNvPicPr>
                      <a:picLocks noChangeAspect="1" noChangeArrowheads="1"/>
                    </pic:cNvPicPr>
                  </pic:nvPicPr>
                  <pic:blipFill>
                    <a:blip r:embed="rIdImg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921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演示（2026-09-12）：</w:t>
      </w:r>
      <w:r>
        <w:rPr>
          <w:rFonts w:ascii="Aptos" w:hAnsi="Aptos" w:eastAsia="Microsoft YaHei"/>
          <w:sz w:val="21"/>
          <w:szCs w:val="21"/>
          <w:color w:val="000000"/>
        </w:rPr>
        <w:t>规则建议、路径与启发式风险指数，非人工最终审批结果。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7086600"/>
            <wp:effectExtent l="0" t="0" r="0" b="0"/>
            <wp:docPr id="7" name="演示 路线和问答" descr="演示 路线和问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演示 路线和问答"/>
                    <pic:cNvPicPr>
                      <a:picLocks noChangeAspect="1" noChangeArrowheads="1"/>
                    </pic:cNvPicPr>
                  </pic:nvPicPr>
                  <pic:blipFill>
                    <a:blip r:embed="rIdImg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708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演示（2026-09-12 截图，2026-09-13 复核）：</w:t>
      </w:r>
      <w:r>
        <w:rPr>
          <w:rFonts w:ascii="Aptos" w:hAnsi="Aptos" w:eastAsia="Microsoft YaHei"/>
          <w:sz w:val="21"/>
          <w:szCs w:val="21"/>
          <w:color w:val="000000"/>
        </w:rPr>
        <w:t>在线模式下路线与问答均由后端实时计算（/api/route 按案例求解补发路线、/api/qa 查询真实图谱并返回证据）；本图为演示截图，闭环是否接通以 9/13 的端到端复核为准。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6.6 系统架构与接口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前端采用 Vue 3、Vite、Pinia、Leaflet，保留旧版静态 demo。在线模式经 FastAPI/Uvicorn 调用 Python 引擎，离线模式使用 JS 移植；结案历史为 JSONL，知识库为 Neo4j。训练和路线导出脚本独立运行。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4015740"/>
            <wp:effectExtent l="0" t="0" r="0" b="0"/>
            <wp:docPr id="8" name="图 5 当前架构" descr="图 5 当前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图 5 当前架构"/>
                    <pic:cNvPicPr>
                      <a:picLocks noChangeAspect="1" noChangeArrowheads="1"/>
                    </pic:cNvPicPr>
                  </pic:nvPicPr>
                  <pic:blipFill>
                    <a:blip r:embed="rIdImg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5：</w:t>
      </w:r>
      <w:r>
        <w:rPr>
          <w:rFonts w:ascii="Aptos" w:hAnsi="Aptos" w:eastAsia="Microsoft YaHei"/>
          <w:sz w:val="21"/>
          <w:szCs w:val="21"/>
          <w:color w:val="000000"/>
        </w:rPr>
        <w:t>在线规则主链、离线实验、路线求解与图谱问答四层的接线状态；截至 2026-09-13，事件触发路线求解与前端真实图谱问答均已接通。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跨成员契约需固定 run_id、order_id、产品、目的地、数量、时间窗、温区兼容性和 ReplanResult 的关联方式，并处理无可行路线、重复结案与存储失败。这是拟完成的接口要求，不是当前 API 已支持的字段清单。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779520"/>
            <wp:effectExtent l="0" t="0" r="0" b="0"/>
            <wp:docPr id="9" name="图 6 最小闭环目标" descr="图 6 最小闭环目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图 6 最小闭环目标"/>
                    <pic:cNvPicPr>
                      <a:picLocks noChangeAspect="1" noChangeArrowheads="1"/>
                    </pic:cNvPicPr>
                  </pic:nvPicPr>
                  <pic:blipFill>
                    <a:blip r:embed="rIdImg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6：</w:t>
      </w:r>
      <w:r>
        <w:rPr>
          <w:rFonts w:ascii="Aptos" w:hAnsi="Aptos" w:eastAsia="Microsoft YaHei"/>
          <w:sz w:val="21"/>
          <w:szCs w:val="21"/>
          <w:color w:val="000000"/>
        </w:rPr>
        <w:t>W3 集成验收目标。核心模块与主要连接（结案 → 订单 → 路线 → 证据查询）已于 9/12–9/13 接通；尚缺人工复核/审批字段。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7. 数据收集与预处理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7.1 主要数据集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数据集</w:t>
            </w:r>
          </w:p>
        </w:tc>
        <w:tc>
          <w:tcPr>
            <w:tcW w:w="234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规模与粒度</w:t>
            </w:r>
          </w:p>
        </w:tc>
        <w:tc>
          <w:tcPr>
            <w:tcW w:w="234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用途</w:t>
            </w:r>
          </w:p>
        </w:tc>
        <w:tc>
          <w:tcPr>
            <w:tcW w:w="234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数据性质与许可</w:t>
            </w:r>
          </w:p>
        </w:tc>
      </w:tr>
      <w:tr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Cold Chain Silent Failure (https://www.kaggle.com/datasets/skarin/cold-chain-shipment-silent-failure-dataset)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8,000 × 24；运输摘要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失效二分类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疑似合成；CC0</w:t>
            </w:r>
          </w:p>
        </w:tc>
      </w:tr>
      <w:tr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Vaccine Distribution (https://www.kaggle.com/datasets/manankhanna0/vaccine-distribution-with-temperature-logging)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26,674 × 13；30 批次日志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演示素材、序列任务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疑似合成，含实际地名；CC0</w:t>
            </w:r>
          </w:p>
        </w:tc>
      </w:tr>
      <w:tr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Electric Sheep Africa vaccine-cold-chain (https://huggingface.co/datasets/electricsheepafrica/vaccine-cold-chain)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3 × 10,000 × 46；设施月度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候选原因分类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仿真；CC BY 4.0</w:t>
            </w:r>
          </w:p>
        </w:tc>
      </w:tr>
      <w:tr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Africa Synth Immunization (https://huggingface.co/datasets/electricsheepafrica/africa-synth-immunization-vaccine-quality-cold-chain-all)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约 30,000 行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可选质量风险补充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合成；CC BY 4.0</w:t>
            </w:r>
          </w:p>
        </w:tc>
      </w:tr>
      <w:tr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Solomon / CVRPLIB (http://vrp.atd-lab.inf.puc-rio.br/index.php/en/)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已纳入 6 实例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VRPTW 标准对照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抽象基准，保留来源</w:t>
            </w:r>
          </w:p>
        </w:tc>
      </w:tr>
      <w:tr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OpenStreetMap (https://www.openstreetmap.org/copyright) 新加坡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11 设施、11×11 矩阵、110 条有向路径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本地配送算例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真实道路、模拟业务；ODbL</w:t>
            </w:r>
          </w:p>
        </w:tc>
      </w:tr>
      <w:tr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自建场景与人工 gold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57 场景、4 类处置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规则评估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合成场景、独立标注与仲裁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许可核实记录见 数据字典 (../data/ml/DATA_DICTIONARY.md)。保留 Electric Sheep Africa 署名与许可信息，以及 OSM 的相应署名。其他小样本或网络安全数据不作为核心基准。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7.2 领域知识来源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规则依据来自 WHO、EU GDP、ICH 及适用产品资料；程序性节点引用 CDC/WHO 公开指南，不冒充企业内部 SOP。记录来源、适用范围和假设，逐步分开产品级证据与通用原则。尚未完成的规则复核不表述为“全部已验证”。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7.3 预处理与任务边界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各数据按原粒度单独建模，不虚构共有批次 ID 拼接运输、设施月度与新加坡订单。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无时间戳的失效任务使用分层随机划分；多折实验在每折训练部分完成预处理与阈值选择，测试部分仅用于最终评分。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设施月度任务检查重复实体及分组/时间划分可行性，报告相对随机划分的变化。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序列任务先定义产品温区、窗口、缺失处理、MKT 参数和预测时点，防止同批次重叠窗口跨集合泄漏。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当前演示导出按温度推断类别、以单点读数近似 MKT、将包装固定为完整；这些映射不用于验证真实产品稳定性或 MKT 算法。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阈值派生标签只检查事件提取逻辑，不用于证明采用相同阈值的处置规则具有独立领域正确性。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OSMnx 从缓存道路生成有向距离/时间及同路径几何，保留来源指纹；订单和车辆假设单独记录。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8. 实验与评估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8.1 指标与验收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模块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指标与检查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结论边界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风险分类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F1、ROC-AUC、PR-AUC、精确率/召回率、多折均值与标准差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不报告未定义的提前预警指标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处置规则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gold 一致率、macro-F1、各类召回、混淆矩阵、κ、规则覆盖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分开实现符合规则、人工一致性与领域有效性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补发动作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补发政策一致性、订单生成与重复触发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与四类处置分别验收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候选原因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Top-1、Top-3、macro-F1、支持数、失败案例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仿真分类不等于因果诊断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路线优化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距离、车辆数、合计时长、准时率、未服务、违规、运行时间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同实例、同约束、固定预算比较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图谱问答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正确率、案例相关证据覆盖、无证据拒答率、响应时间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引用数量不等于证据相关性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系统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端到端时延、标识关联、快照完整性、异常恢复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分开规则预览、求解和结案耗时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路线评估同时报告未服务订单，避免已服务客户的准时率掩盖失败。对比 Solomon 已发表解前需对齐车辆数目标、距离精度和约束；单个新加坡算例不证明运营节约。系统验收覆盖需补发、不需补发、无可行路线、无证据、服务故障及重复结案。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8.2 基线与阶段结果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下表为 2026-09-09 已记录的初步风险实验，本次修订未重新训练。数据疑似合成，结果只描述该数据集，不证明真实世界有效性；当前为单次随机划分，尚非多折结果。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风险模型（可解释特征）</w:t>
            </w:r>
          </w:p>
        </w:tc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验证集阈值</w:t>
            </w:r>
          </w:p>
        </w:tc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F1</w:t>
            </w:r>
          </w:p>
        </w:tc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ROC-AUC</w:t>
            </w:r>
          </w:p>
        </w:tc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PR-AUC</w:t>
            </w:r>
          </w:p>
        </w:tc>
      </w:tr>
      <w:tr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逻辑回归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0.55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0.626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0.891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0.651</w:t>
            </w:r>
          </w:p>
        </w:tc>
      </w:tr>
      <w:tr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LightGBM</w:t>
            </w:r>
          </w:p>
        </w:tc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0.35</w:t>
            </w:r>
          </w:p>
        </w:tc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0.688</w:t>
            </w:r>
          </w:p>
        </w:tc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0.925</w:t>
            </w:r>
          </w:p>
        </w:tc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0.745</w:t>
            </w:r>
          </w:p>
        </w:tc>
      </w:tr>
      <w:tr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XGBoost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0.30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0.659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0.919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0.734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原因实验中，LightGBM 的 Top-1=0.143、Top-3=0.421、macro-F1=0.125；多数类基线 Top-1=0.161、macro-F1=0.028。Top-1 未超过多数类，结果支持继续研究候选排序和特征定义，不支持宣称可靠根因识别。正式版本需定义无歧义的 Top-3 基线及并列概率处理。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新加坡算例的 2026-09-10 已记录结果：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算法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使用车辆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服务客户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总距离 km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合计路线时长 min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违规 / 未服务</w:t>
            </w:r>
          </w:p>
        </w:tc>
      </w:tr>
      <w:tr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贪心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2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10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142.6305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364.6972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 / 0</w:t>
            </w:r>
          </w:p>
        </w:tc>
      </w:tr>
      <w:tr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OR-Tools Routing（10 秒）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2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10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133.8073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357.5731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 / 0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距离减少约 6.19%。算例提供 3 辆车、各容量 200 单位；医院各需求 30 单位，窗口 09:00–17:00、服务 15 分钟；仓库 08:00–18:00。合计路线时长是各车工作时长之和；限时结果可能随环境变化。实验进度 (../PROGRESS.md)、新加坡说明 (../docs/singapore_network_assumptions.md)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8.3 处置决策 Ground-truth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57 个合成场景由 B/C 仅依据书面 rubric 独立全量标注、A 仲裁。2026-09-12 人工 gold 已替换引擎自产的占位标签。标注者是团队成员，不称为领域专家。原始个人作答保留于私有标注包，仓库保存仲裁标签、结论及指纹。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4680"/>
        <w:gridCol w:w="4680"/>
      </w:tblGrid>
      <w:tr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指标</w:t>
            </w:r>
          </w:p>
        </w:tc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当前结果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B/C 原始一致条数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44/57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标注者间 Cohen's κ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0.6434，未达到原定 0.80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当前引擎与 gold 一致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39/57，68.4%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18 条差异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15 条引擎隔离/gold 报废；2 条引擎放行/gold 隔离；1 条引擎复检/gold 隔离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Gold 数量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放行 13、复检 8、隔离 3、报废 33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高后果类别召回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隔离 0/3；报废 18/33（54.5%）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团队决定如实报告 κ=0.6434，不为提高 κ 修订 rubric 重测，保留 gold 中 3 条隔离。第 4 条隔离/报废仍是领域政策未决项，应按产品证据单独决定。隔离仅 3 条，各类结果需连同支持数报告，不作稳定总体性能推断。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评估分三层：单元测试检查实现符合冻结规则；人工 gold 检查书面规则与团队判断的差异；领域有效性需要适用产品资料或外部复核。测试冻结已知 18 条差异，测试通过不代表一致率 100%，也不证明这些差异均应通过改引擎解决。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本次修订直接运行真实引擎复核了 39/57 及混淆计数。evaluate_engine.py 的 selftest 用 rubric 充当替身引擎，只校验脚本，不能作为性能证据。正式评估仍需输出完整 macro-F1、各类精确率/召回率、κ 和覆盖表，保留版本信息。标注统计 (../data/processed/agreement_stats.md)、标注发现 (../docs/annotation_findings_v1.md)、引擎检查 (../tests/test_rule_engine.py)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外部产品级复核为可选工作，尚未完成。后续如因领域证据修订规则，应版本化并用独立新增案例评估，不把对同批 gold 的调优当作新的独立验证。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9. MVP 与范围控制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必须交付：</w:t>
      </w:r>
      <w:r>
        <w:rPr>
          <w:rFonts w:ascii="Aptos" w:hAnsi="Aptos" w:eastAsia="Microsoft YaHei"/>
          <w:sz w:val="21"/>
          <w:szCs w:val="21"/>
          <w:color w:val="000000"/>
        </w:rPr>
        <w:t>4 个明确标为原型的类别配置；四类处置与独立补发语义；单仓新加坡模拟配送；规则到补发单和路线的连接；真实 KG 查询到前端的接线；案例关联记录；独立规则评估、离线风险与原因实验；中英文界面及复现说明。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补充目标：</w:t>
      </w:r>
      <w:r>
        <w:rPr>
          <w:rFonts w:ascii="Aptos" w:hAnsi="Aptos" w:eastAsia="Microsoft YaHei"/>
          <w:sz w:val="21"/>
          <w:szCs w:val="21"/>
          <w:color w:val="000000"/>
        </w:rPr>
        <w:t>序列事件生成与 MKT 验证、更多路由实例、更严格的数据划分。进度受限时优先完成必交闭环，披露演示输入近似，不把未实现的补充目标算作已交付。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可选扩展：</w:t>
      </w:r>
      <w:r>
        <w:rPr>
          <w:rFonts w:ascii="Aptos" w:hAnsi="Aptos" w:eastAsia="Microsoft YaHei"/>
          <w:sz w:val="21"/>
          <w:szCs w:val="21"/>
          <w:color w:val="000000"/>
        </w:rPr>
        <w:t>提前预警、多级稳定性窗口、多仓库存选择、多温区优化、遗传算法、实时车辆位置、LLM 润色和反馈学习。扩展以主链验收为前提。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明确排除：</w:t>
      </w:r>
      <w:r>
        <w:rPr>
          <w:rFonts w:ascii="Aptos" w:hAnsi="Aptos" w:eastAsia="Microsoft YaHei"/>
          <w:sz w:val="21"/>
          <w:szCs w:val="21"/>
          <w:color w:val="000000"/>
        </w:rPr>
        <w:t>生产 ERP/WMS、真实 IoT 部署、临床验证或正式合规认证、患者数据、自动授权实际药品处置及实际运输执行。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10. 项目计划与团队分工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10.1 成员职责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成员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主责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协作交付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规则、领域依据、人工评估、报告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补发输入契约和提案终审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B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数据、风险、候选原因、实验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数据性质说明和报告指标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C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VRPTW、路网、路线评估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补发映射和路线输出契约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D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KG、问答、API、前端、演示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案例关联、证据展示和视频</w:t>
            </w:r>
          </w:p>
        </w:tc>
      </w:tr>
    </w:tbl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10.2 修订后的周计划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以 2026-09-12 已完成工作为起点，保留原提交日期。约 40 人日总投入优先用于主链、验证和交付，可选算法不作硬性要求。下表为修订后的提案计划，原每日计划的历史任务不表示这些事项尚未开始。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周次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重点任务与负责人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验收交付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W0 9/3–13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全员整合规则、数据、标注、路线和 KG 成果，修订提案，补成员信息，同步材料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提案终审与提交；截至 9/12 尚待收尾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W1 9/14–20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A：规则证据/gold 评估；B：任务 spec/多折风险；C：补发映射；D：QA API/证据检查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评估表、任务说明、可评审接口与查询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W2 9/21–27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A/C/D：订单、路线、案例契约及接线；B：原因与划分对照；D：前端真实问答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单仓补发求解、真实 QA、失败状态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W3 9/28–10/4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全员联调；A/D 明确结案与人工复核记录边界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最小闭环 v1，需补发/不需补发/失败案例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W4 10/5–11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A：报告/审计模板；B：实验/失败分析；C：Solomon 与新加坡对比；D：QA 评估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正式实验表、相关证据检查、报告初稿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W5 10/12–18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全员集成测试与干净环境复现；D 主导视频；A 汇总报告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报告修订稿、手册、视频素材与预演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W6 10/19–25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全员终审、视频、打包、个人反思及提交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10/25 前完成最终交付</w:t>
            </w:r>
          </w:p>
        </w:tc>
      </w:tr>
    </w:tbl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720465"/>
            <wp:effectExtent l="0" t="0" r="0" b="0"/>
            <wp:docPr id="10" name="图 7 周计划" descr="图 7 周计划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图 7 周计划"/>
                    <pic:cNvPicPr>
                      <a:picLocks noChangeAspect="1" noChangeArrowheads="1"/>
                    </pic:cNvPicPr>
                  </pic:nvPicPr>
                  <pic:blipFill>
                    <a:blip r:embed="rIdImg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7：</w:t>
      </w:r>
      <w:r>
        <w:rPr>
          <w:rFonts w:ascii="Aptos" w:hAnsi="Aptos" w:eastAsia="Microsoft YaHei"/>
          <w:sz w:val="21"/>
          <w:szCs w:val="21"/>
          <w:color w:val="000000"/>
        </w:rPr>
        <w:t>保留提交节点，后续重心转向集成与评估。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11. 风险与缓解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4680"/>
        <w:gridCol w:w="4680"/>
      </w:tblGrid>
      <w:tr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风险</w:t>
            </w:r>
          </w:p>
        </w:tc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缓解与披露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工程阈值误作稳定性界限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标注证据层级、产品适用性与假设，保留人工复核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标注一致性不足及政策未决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报告 κ、混淆矩阵、小样本限制，以领域依据驱动修订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合成数据与不同粒度导致外推失真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分数据集定义任务，检查时点与分组泄漏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原因 Top-1 较弱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保留多数类基线，分析候选排序及特征可用性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模块独立但业务未接通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A/C/D 优先固定订单、目的地、数量、时窗与案例关联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问答引用无关或缺失证据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逐案例验证相关性，区分无记录、证据不足与故障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日志或 KG 保存失败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验收失败提示、重复触发和关联完整性，不宣称审计级持久性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优化无解或指标不可比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报告未服务/违规，对齐约束、目标、单位和预算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范围与环境影响交付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扩展后置，记录实际依赖与复现步骤，保留离线演示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数据使用和来源追踪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保留许可、署名与指纹，原始个人标注不入库</w:t>
            </w:r>
          </w:p>
        </w:tc>
      </w:tr>
    </w:tbl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12. 最终交付物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GitHub 仓库：规则、数据处理、模型实验、优化、KG/API 和前端。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正式报告、用户手册、个人反思及按课程要求组织的提交压缩包。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两个 5 分钟视频，展示业务流程和技术/评估，明确模拟与未完成部分。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复现实验说明、规则假设与来源清单、标注结论、路线指标和问答评估集。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当前 Markdown 为本轮更新的中英文提案源稿，中文 Word 已按本版重新生成。正式提交前须核对 PPT 与本版一致性，补齐组号、姓名、学号及提交记录；内容修订本身不表示 W0 已提交。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13. 结论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PharmaColdOps 已具备规则决策核心、独立人工标注、离线实验和真实新加坡道路上的配送求解。结果同时揭示规则理解分歧、原因分类能力有限、数据真实性与产品阈值证据不足等限制，将指导后续验证。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剩余重点是接通补发需求、配送结果与案例证据，在 2026-10-25 前交付可解释、可复现、披露适用边界的最小闭环。项目以集成和评估展示 IRS 四类技术，不以未经验证的临床、运营或合规收益作为完成标准。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14. 参考文献与项目依据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WHO. TRS 961 Annex 9 (https://www.who.int/publications/m/item/trs961-annex9-modelguidanceforstoragetransport).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European Commission. GDP 2013/C 343/01 (https://eur-lex.europa.eu/legal-content/EN/TXT/?uri=CELEX%3A32013C0343).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ICH. Quality Guidelines (https://www.ich.org/page/quality-guidelines).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CDC. Vaccine Storage and Handling (https://www.cdc.gov/pinkbook/hcp/table-of-contents/chapter-5-vaccine-storage-and-handling.html).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Controlant. Applications and Product Stability Automation (https://www.controlant.com/applications)（2026-09-12 核查，厂商自述）。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Solomon, M. M. (1987). Algorithms for the Vehicle Routing and Scheduling Problems with Time Window Constraints (https://doi.org/10.1287/opre.35.2.254). Operations Research, 35(2), 254–265.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Chen, T., &amp; Guestrin, C. (2016). XGBoost: A Scalable Tree Boosting System (https://arxiv.org/abs/1603.02754). ACM SIGKDD.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Ke, G., et al. (2017). LightGBM: A Highly Efficient Gradient Boosting Decision Tree (https://papers.nips.cc/paper/6907-lightgbm-a-highly-efficient-gradient-boosting-decision-tree). NeurIPS.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Lundberg, S. M., &amp; Lee, S.-I. (2017). A Unified Approach to Interpreting Model Predictions (https://arxiv.org/abs/1705.07874). NeurIPS.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Google. OR-Tools Routing Options (https://developers.google.com/optimization/routing/routing_options).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OpenStreetMap contributors. Copyright and ODbL (https://www.openstreetmap.org/copyright).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数据集链接见 §7.1；项目证据见 DATA_DICTIONARY (../data/ml/DATA_DICTIONARY.md)、PROGRESS (../PROGRESS.md)、网络假设 (../docs/singapore_network_assumptions.md)、标注统计 (../data/processed/agreement_stats.md)、PROVENANCE (../data/processed/PROVENANCE.md)。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NUS-ISS. IRS 提案与终期展示指南 v016 (IRS%20practice%20module%20project%20proposal%20%26%20final%20presentation%20guidelines%20v016.pdf)（课程提供材料）。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15. 补充说明 AI 的使用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本提案使用生成式 AI 辅助起草、翻译、编排和核对，早期稿使用 Claude，本次修订使用 Codex。AI 也协助场景草案与开发；人工 gold 来自 B/C 独立标注和 A 仲裁。AI 输出不是稳定性或合规结论的依据。团队负责核对引用、规则假设、实验复现和提交材料；尚未完成的产品级或外部验证已在正文说明。</w:t>
      </w:r>
    </w:p>
    <w:sectPr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Img1" Type="http://schemas.openxmlformats.org/officeDocument/2006/relationships/image" Target="media/image1.svg"/><Relationship Id="rIdImg2" Type="http://schemas.openxmlformats.org/officeDocument/2006/relationships/image" Target="media/image2.svg"/><Relationship Id="rIdImg3" Type="http://schemas.openxmlformats.org/officeDocument/2006/relationships/image" Target="media/image3.svg"/><Relationship Id="rIdImg4" Type="http://schemas.openxmlformats.org/officeDocument/2006/relationships/image" Target="media/image4.sv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svg"/><Relationship Id="rIdImg9" Type="http://schemas.openxmlformats.org/officeDocument/2006/relationships/image" Target="media/image9.svg"/><Relationship Id="rIdImg10" Type="http://schemas.openxmlformats.org/officeDocument/2006/relationships/image" Target="media/image10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PharmaColdOps 项目提案</dc:title>
  <dc:subject>冷链药品温度偏移处置与配送改派决策支持原型</dc:subject>
  <dc:creator>PharmaColdOps Team</dc:creator>
  <cp:lastModifiedBy>Codex</cp:lastModifiedBy>
  <dcterms:created xsi:type="dcterms:W3CDTF">2026-09-13T14:20:47Z</dcterms:created>
  <dcterms:modified xsi:type="dcterms:W3CDTF">2026-09-13T14:20:47Z</dcterms:modified>
</cp:coreProperties>
</file>