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PharmaColdOps Project Report</w:t>
      </w:r>
    </w:p>
    <w:p>
      <w:r>
        <w:t>IRS Practice Module  |  Project Group 41  |  21 October 2026</w:t>
      </w:r>
    </w:p>
    <w:p>
      <w:r>
        <w:t>Xu Wenzhe, Zhu Jianyu, Wang Lepeng and Shen Ziyi</w:t>
      </w:r>
    </w:p>
    <w:p>
      <w:r>
        <w:br w:type="page"/>
      </w:r>
    </w:p>
    <w:p>
      <w:r>
        <w:rPr>
          <w:b/>
          <w:sz w:val="30"/>
        </w:rPr>
        <w:t>Contents</w:t>
      </w:r>
    </w:p>
    <w:p>
      <w:pPr>
        <w:tabs>
          <w:tab w:pos="10080" w:val="right" w:leader="dot"/>
        </w:tabs>
      </w:pPr>
      <w:r>
        <w:rPr>
          <w:sz w:val="21"/>
        </w:rPr>
        <w:t>Executive summary</w:t>
      </w:r>
      <w:r>
        <w:tab/>
      </w:r>
      <w:r>
        <w:rPr>
          <w:sz w:val="21"/>
        </w:rPr>
        <w:t>3</w:t>
      </w:r>
    </w:p>
    <w:p>
      <w:pPr>
        <w:tabs>
          <w:tab w:pos="10080" w:val="right" w:leader="dot"/>
        </w:tabs>
      </w:pPr>
      <w:r>
        <w:rPr>
          <w:sz w:val="21"/>
        </w:rPr>
        <w:t>1 Business problem, market context and related work</w:t>
      </w:r>
      <w:r>
        <w:tab/>
      </w:r>
      <w:r>
        <w:rPr>
          <w:sz w:val="21"/>
        </w:rPr>
        <w:t>3</w:t>
      </w:r>
    </w:p>
    <w:p>
      <w:pPr>
        <w:tabs>
          <w:tab w:pos="10080" w:val="right" w:leader="dot"/>
        </w:tabs>
        <w:spacing w:after="40"/>
        <w:ind w:left="360"/>
      </w:pPr>
      <w:r>
        <w:rPr>
          <w:sz w:val="21"/>
        </w:rPr>
        <w:t>1.1 The operational problem</w:t>
      </w:r>
      <w:r>
        <w:tab/>
      </w:r>
      <w:r>
        <w:rPr>
          <w:sz w:val="21"/>
        </w:rPr>
        <w:t>3</w:t>
      </w:r>
    </w:p>
    <w:p>
      <w:pPr>
        <w:tabs>
          <w:tab w:pos="10080" w:val="right" w:leader="dot"/>
        </w:tabs>
        <w:spacing w:after="40"/>
        <w:ind w:left="360"/>
      </w:pPr>
      <w:r>
        <w:rPr>
          <w:sz w:val="21"/>
        </w:rPr>
        <w:t>1.2 Market and regulatory context</w:t>
      </w:r>
      <w:r>
        <w:tab/>
      </w:r>
      <w:r>
        <w:rPr>
          <w:sz w:val="21"/>
        </w:rPr>
        <w:t>3</w:t>
      </w:r>
    </w:p>
    <w:p>
      <w:pPr>
        <w:tabs>
          <w:tab w:pos="10080" w:val="right" w:leader="dot"/>
        </w:tabs>
        <w:spacing w:after="40"/>
        <w:ind w:left="360"/>
      </w:pPr>
      <w:r>
        <w:rPr>
          <w:sz w:val="21"/>
        </w:rPr>
        <w:t>1.3 Related work</w:t>
      </w:r>
      <w:r>
        <w:tab/>
      </w:r>
      <w:r>
        <w:rPr>
          <w:sz w:val="21"/>
        </w:rPr>
        <w:t>4</w:t>
      </w:r>
    </w:p>
    <w:p>
      <w:pPr>
        <w:tabs>
          <w:tab w:pos="10080" w:val="right" w:leader="dot"/>
        </w:tabs>
        <w:spacing w:after="40"/>
        <w:ind w:left="360"/>
      </w:pPr>
      <w:r>
        <w:rPr>
          <w:sz w:val="21"/>
        </w:rPr>
        <w:t>1.4 Positioning and contribution</w:t>
      </w:r>
      <w:r>
        <w:tab/>
      </w:r>
      <w:r>
        <w:rPr>
          <w:sz w:val="21"/>
        </w:rPr>
        <w:t>4</w:t>
      </w:r>
    </w:p>
    <w:p>
      <w:pPr>
        <w:tabs>
          <w:tab w:pos="10080" w:val="right" w:leader="dot"/>
        </w:tabs>
      </w:pPr>
      <w:r>
        <w:rPr>
          <w:sz w:val="21"/>
        </w:rPr>
        <w:t>2 Domain foundations and method selection</w:t>
      </w:r>
      <w:r>
        <w:tab/>
      </w:r>
      <w:r>
        <w:rPr>
          <w:sz w:val="21"/>
        </w:rPr>
        <w:t>4</w:t>
      </w:r>
    </w:p>
    <w:p>
      <w:pPr>
        <w:tabs>
          <w:tab w:pos="10080" w:val="right" w:leader="dot"/>
        </w:tabs>
      </w:pPr>
      <w:r>
        <w:rPr>
          <w:sz w:val="21"/>
        </w:rPr>
        <w:t>3 System architecture</w:t>
      </w:r>
      <w:r>
        <w:tab/>
      </w:r>
      <w:r>
        <w:rPr>
          <w:sz w:val="21"/>
        </w:rPr>
        <w:t>5</w:t>
      </w:r>
    </w:p>
    <w:p>
      <w:pPr>
        <w:tabs>
          <w:tab w:pos="10080" w:val="right" w:leader="dot"/>
        </w:tabs>
      </w:pPr>
      <w:r>
        <w:rPr>
          <w:sz w:val="21"/>
        </w:rPr>
        <w:t>4 Implementation and workflow</w:t>
      </w:r>
      <w:r>
        <w:tab/>
      </w:r>
      <w:r>
        <w:rPr>
          <w:sz w:val="21"/>
        </w:rPr>
        <w:t>6</w:t>
      </w:r>
    </w:p>
    <w:p>
      <w:pPr>
        <w:tabs>
          <w:tab w:pos="10080" w:val="right" w:leader="dot"/>
        </w:tabs>
        <w:spacing w:after="40"/>
        <w:ind w:left="360"/>
      </w:pPr>
      <w:r>
        <w:rPr>
          <w:sz w:val="21"/>
        </w:rPr>
        <w:t>4.1 Temperature assessment and human review</w:t>
      </w:r>
      <w:r>
        <w:tab/>
      </w:r>
      <w:r>
        <w:rPr>
          <w:sz w:val="21"/>
        </w:rPr>
        <w:t>6</w:t>
      </w:r>
    </w:p>
    <w:p>
      <w:pPr>
        <w:tabs>
          <w:tab w:pos="10080" w:val="right" w:leader="dot"/>
        </w:tabs>
        <w:spacing w:after="40"/>
        <w:ind w:left="360"/>
      </w:pPr>
      <w:r>
        <w:rPr>
          <w:sz w:val="21"/>
        </w:rPr>
        <w:t>4.2 Delivery planning and execution</w:t>
      </w:r>
      <w:r>
        <w:tab/>
      </w:r>
      <w:r>
        <w:rPr>
          <w:sz w:val="21"/>
        </w:rPr>
        <w:t>7</w:t>
      </w:r>
    </w:p>
    <w:p>
      <w:pPr>
        <w:tabs>
          <w:tab w:pos="10080" w:val="right" w:leader="dot"/>
        </w:tabs>
        <w:spacing w:after="40"/>
        <w:ind w:left="360"/>
      </w:pPr>
      <w:r>
        <w:rPr>
          <w:sz w:val="21"/>
        </w:rPr>
        <w:t>4.3 Advisory models and graph queries</w:t>
      </w:r>
      <w:r>
        <w:tab/>
      </w:r>
      <w:r>
        <w:rPr>
          <w:sz w:val="21"/>
        </w:rPr>
        <w:t>8</w:t>
      </w:r>
    </w:p>
    <w:p>
      <w:pPr>
        <w:tabs>
          <w:tab w:pos="10080" w:val="right" w:leader="dot"/>
        </w:tabs>
      </w:pPr>
      <w:r>
        <w:rPr>
          <w:sz w:val="21"/>
        </w:rPr>
        <w:t>5 Data and evaluation design</w:t>
      </w:r>
      <w:r>
        <w:tab/>
      </w:r>
      <w:r>
        <w:rPr>
          <w:sz w:val="21"/>
        </w:rPr>
        <w:t>8</w:t>
      </w:r>
    </w:p>
    <w:p>
      <w:pPr>
        <w:tabs>
          <w:tab w:pos="10080" w:val="right" w:leader="dot"/>
        </w:tabs>
      </w:pPr>
      <w:r>
        <w:rPr>
          <w:sz w:val="21"/>
        </w:rPr>
        <w:t>6 Experimental results</w:t>
      </w:r>
      <w:r>
        <w:tab/>
      </w:r>
      <w:r>
        <w:rPr>
          <w:sz w:val="21"/>
        </w:rPr>
        <w:t>8</w:t>
      </w:r>
    </w:p>
    <w:p>
      <w:pPr>
        <w:tabs>
          <w:tab w:pos="10080" w:val="right" w:leader="dot"/>
        </w:tabs>
        <w:spacing w:after="40"/>
        <w:ind w:left="360"/>
      </w:pPr>
      <w:r>
        <w:rPr>
          <w:sz w:val="21"/>
        </w:rPr>
        <w:t>6.1 Rule engine</w:t>
      </w:r>
      <w:r>
        <w:tab/>
      </w:r>
      <w:r>
        <w:rPr>
          <w:sz w:val="21"/>
        </w:rPr>
        <w:t>8</w:t>
      </w:r>
    </w:p>
    <w:p>
      <w:pPr>
        <w:tabs>
          <w:tab w:pos="10080" w:val="right" w:leader="dot"/>
        </w:tabs>
        <w:spacing w:after="40"/>
        <w:ind w:left="360"/>
      </w:pPr>
      <w:r>
        <w:rPr>
          <w:sz w:val="21"/>
        </w:rPr>
        <w:t>6.2 Shipment risk and monthly candidate causes</w:t>
      </w:r>
      <w:r>
        <w:tab/>
      </w:r>
      <w:r>
        <w:rPr>
          <w:sz w:val="21"/>
        </w:rPr>
        <w:t>9</w:t>
      </w:r>
    </w:p>
    <w:p>
      <w:pPr>
        <w:tabs>
          <w:tab w:pos="10080" w:val="right" w:leader="dot"/>
        </w:tabs>
        <w:spacing w:after="40"/>
        <w:ind w:left="360"/>
      </w:pPr>
      <w:r>
        <w:rPr>
          <w:sz w:val="21"/>
        </w:rPr>
        <w:t>6.3 Event-level temporal study</w:t>
      </w:r>
      <w:r>
        <w:tab/>
      </w:r>
      <w:r>
        <w:rPr>
          <w:sz w:val="21"/>
        </w:rPr>
        <w:t>10</w:t>
      </w:r>
    </w:p>
    <w:p>
      <w:pPr>
        <w:tabs>
          <w:tab w:pos="10080" w:val="right" w:leader="dot"/>
        </w:tabs>
        <w:spacing w:after="40"/>
        <w:ind w:left="360"/>
      </w:pPr>
      <w:r>
        <w:rPr>
          <w:sz w:val="21"/>
        </w:rPr>
        <w:t>6.4 Static routing</w:t>
      </w:r>
      <w:r>
        <w:tab/>
      </w:r>
      <w:r>
        <w:rPr>
          <w:sz w:val="21"/>
        </w:rPr>
        <w:t>10</w:t>
      </w:r>
    </w:p>
    <w:p>
      <w:pPr>
        <w:tabs>
          <w:tab w:pos="10080" w:val="right" w:leader="dot"/>
        </w:tabs>
        <w:spacing w:after="40"/>
        <w:ind w:left="360"/>
      </w:pPr>
      <w:r>
        <w:rPr>
          <w:sz w:val="21"/>
        </w:rPr>
        <w:t>6.5 Knowledge graph and independent human evaluation</w:t>
      </w:r>
      <w:r>
        <w:tab/>
      </w:r>
      <w:r>
        <w:rPr>
          <w:sz w:val="21"/>
        </w:rPr>
        <w:t>11</w:t>
      </w:r>
    </w:p>
    <w:p>
      <w:pPr>
        <w:tabs>
          <w:tab w:pos="10080" w:val="right" w:leader="dot"/>
        </w:tabs>
      </w:pPr>
      <w:r>
        <w:rPr>
          <w:sz w:val="21"/>
        </w:rPr>
        <w:t>7 Reliability and reproduction</w:t>
      </w:r>
      <w:r>
        <w:tab/>
      </w:r>
      <w:r>
        <w:rPr>
          <w:sz w:val="21"/>
        </w:rPr>
        <w:t>11</w:t>
      </w:r>
    </w:p>
    <w:p>
      <w:pPr>
        <w:tabs>
          <w:tab w:pos="10080" w:val="right" w:leader="dot"/>
        </w:tabs>
      </w:pPr>
      <w:r>
        <w:rPr>
          <w:sz w:val="21"/>
        </w:rPr>
        <w:t>8 Findings and discussion</w:t>
      </w:r>
      <w:r>
        <w:tab/>
      </w:r>
      <w:r>
        <w:rPr>
          <w:sz w:val="21"/>
        </w:rPr>
        <w:t>12</w:t>
      </w:r>
    </w:p>
    <w:p>
      <w:pPr>
        <w:tabs>
          <w:tab w:pos="10080" w:val="right" w:leader="dot"/>
        </w:tabs>
        <w:spacing w:after="40"/>
        <w:ind w:left="360"/>
      </w:pPr>
      <w:r>
        <w:rPr>
          <w:sz w:val="21"/>
        </w:rPr>
        <w:t>8.1 What the results support</w:t>
      </w:r>
      <w:r>
        <w:tab/>
      </w:r>
      <w:r>
        <w:rPr>
          <w:sz w:val="21"/>
        </w:rPr>
        <w:t>12</w:t>
      </w:r>
    </w:p>
    <w:p>
      <w:pPr>
        <w:tabs>
          <w:tab w:pos="10080" w:val="right" w:leader="dot"/>
        </w:tabs>
        <w:spacing w:after="40"/>
        <w:ind w:left="360"/>
      </w:pPr>
      <w:r>
        <w:rPr>
          <w:sz w:val="21"/>
        </w:rPr>
        <w:t>8.2 Why the rule engine misses quarantine</w:t>
      </w:r>
      <w:r>
        <w:tab/>
      </w:r>
      <w:r>
        <w:rPr>
          <w:sz w:val="21"/>
        </w:rPr>
        <w:t>12</w:t>
      </w:r>
    </w:p>
    <w:p>
      <w:pPr>
        <w:tabs>
          <w:tab w:pos="10080" w:val="right" w:leader="dot"/>
        </w:tabs>
        <w:spacing w:after="40"/>
        <w:ind w:left="360"/>
      </w:pPr>
      <w:r>
        <w:rPr>
          <w:sz w:val="21"/>
        </w:rPr>
        <w:t>8.3 Why monthly cause classification remains weak</w:t>
      </w:r>
      <w:r>
        <w:tab/>
      </w:r>
      <w:r>
        <w:rPr>
          <w:sz w:val="21"/>
        </w:rPr>
        <w:t>12</w:t>
      </w:r>
    </w:p>
    <w:p>
      <w:pPr>
        <w:tabs>
          <w:tab w:pos="10080" w:val="right" w:leader="dot"/>
        </w:tabs>
        <w:spacing w:after="40"/>
        <w:ind w:left="360"/>
      </w:pPr>
      <w:r>
        <w:rPr>
          <w:sz w:val="21"/>
        </w:rPr>
        <w:t>8.4 What the event-level study adds</w:t>
      </w:r>
      <w:r>
        <w:tab/>
      </w:r>
      <w:r>
        <w:rPr>
          <w:sz w:val="21"/>
        </w:rPr>
        <w:t>13</w:t>
      </w:r>
    </w:p>
    <w:p>
      <w:pPr>
        <w:tabs>
          <w:tab w:pos="10080" w:val="right" w:leader="dot"/>
        </w:tabs>
        <w:spacing w:after="40"/>
        <w:ind w:left="360"/>
      </w:pPr>
      <w:r>
        <w:rPr>
          <w:sz w:val="21"/>
        </w:rPr>
        <w:t>8.5 Deployment implications and limits</w:t>
      </w:r>
      <w:r>
        <w:tab/>
      </w:r>
      <w:r>
        <w:rPr>
          <w:sz w:val="21"/>
        </w:rPr>
        <w:t>13</w:t>
      </w:r>
    </w:p>
    <w:p>
      <w:pPr>
        <w:tabs>
          <w:tab w:pos="10080" w:val="right" w:leader="dot"/>
        </w:tabs>
        <w:spacing w:after="40"/>
        <w:ind w:left="360"/>
      </w:pPr>
      <w:r>
        <w:rPr>
          <w:sz w:val="21"/>
        </w:rPr>
        <w:t>8.6 Remaining work</w:t>
      </w:r>
      <w:r>
        <w:tab/>
      </w:r>
      <w:r>
        <w:rPr>
          <w:sz w:val="21"/>
        </w:rPr>
        <w:t>13</w:t>
      </w:r>
    </w:p>
    <w:p>
      <w:pPr>
        <w:tabs>
          <w:tab w:pos="10080" w:val="right" w:leader="dot"/>
        </w:tabs>
        <w:spacing w:after="40"/>
        <w:ind w:left="360"/>
      </w:pPr>
      <w:r>
        <w:rPr>
          <w:sz w:val="21"/>
        </w:rPr>
        <w:t>8.7 Team contributions and cross-review</w:t>
      </w:r>
      <w:r>
        <w:tab/>
      </w:r>
      <w:r>
        <w:rPr>
          <w:sz w:val="21"/>
        </w:rPr>
        <w:t>13</w:t>
      </w:r>
    </w:p>
    <w:p>
      <w:pPr>
        <w:tabs>
          <w:tab w:pos="10080" w:val="right" w:leader="dot"/>
        </w:tabs>
      </w:pPr>
      <w:r>
        <w:rPr>
          <w:sz w:val="21"/>
        </w:rPr>
        <w:t>References and project evidence</w:t>
      </w:r>
      <w:r>
        <w:tab/>
      </w:r>
      <w:r>
        <w:rPr>
          <w:sz w:val="21"/>
        </w:rPr>
        <w:t>14</w:t>
      </w:r>
    </w:p>
    <w:p>
      <w:pPr>
        <w:tabs>
          <w:tab w:pos="10080" w:val="right" w:leader="dot"/>
        </w:tabs>
      </w:pPr>
      <w:r>
        <w:rPr>
          <w:sz w:val="21"/>
        </w:rPr>
        <w:t>Appendix A Mapping to modular course techniques</w:t>
      </w:r>
      <w:r>
        <w:tab/>
      </w:r>
      <w:r>
        <w:rPr>
          <w:sz w:val="21"/>
        </w:rPr>
        <w:t>15</w:t>
      </w:r>
    </w:p>
    <w:p>
      <w:pPr>
        <w:tabs>
          <w:tab w:pos="10080" w:val="right" w:leader="dot"/>
        </w:tabs>
      </w:pPr>
      <w:r>
        <w:rPr>
          <w:sz w:val="21"/>
        </w:rPr>
        <w:t>Appendix B Installation and user guide</w:t>
      </w:r>
      <w:r>
        <w:tab/>
      </w:r>
      <w:r>
        <w:rPr>
          <w:sz w:val="21"/>
        </w:rPr>
        <w:t>15</w:t>
      </w:r>
    </w:p>
    <w:p>
      <w:pPr>
        <w:tabs>
          <w:tab w:pos="10080" w:val="right" w:leader="dot"/>
        </w:tabs>
        <w:spacing w:after="40"/>
        <w:ind w:left="360"/>
      </w:pPr>
      <w:r>
        <w:rPr>
          <w:sz w:val="21"/>
        </w:rPr>
        <w:t>B1 Fresh demonstration deployment</w:t>
      </w:r>
      <w:r>
        <w:tab/>
      </w:r>
      <w:r>
        <w:rPr>
          <w:sz w:val="21"/>
        </w:rPr>
        <w:t>15</w:t>
      </w:r>
    </w:p>
    <w:p>
      <w:pPr>
        <w:tabs>
          <w:tab w:pos="10080" w:val="right" w:leader="dot"/>
        </w:tabs>
        <w:spacing w:after="40"/>
        <w:ind w:left="360"/>
      </w:pPr>
      <w:r>
        <w:rPr>
          <w:sz w:val="21"/>
        </w:rPr>
        <w:t>B2 Operator walkthrough</w:t>
      </w:r>
      <w:r>
        <w:tab/>
      </w:r>
      <w:r>
        <w:rPr>
          <w:sz w:val="21"/>
        </w:rPr>
        <w:t>15</w:t>
      </w:r>
    </w:p>
    <w:p>
      <w:pPr>
        <w:tabs>
          <w:tab w:pos="10080" w:val="right" w:leader="dot"/>
        </w:tabs>
        <w:spacing w:after="40"/>
        <w:ind w:left="360"/>
      </w:pPr>
      <w:r>
        <w:rPr>
          <w:sz w:val="21"/>
        </w:rPr>
        <w:t>B3 Failure handling and offline mode</w:t>
      </w:r>
      <w:r>
        <w:tab/>
      </w:r>
      <w:r>
        <w:rPr>
          <w:sz w:val="21"/>
        </w:rPr>
        <w:t>16</w:t>
      </w:r>
    </w:p>
    <w:p>
      <w:pPr>
        <w:tabs>
          <w:tab w:pos="10080" w:val="right" w:leader="dot"/>
        </w:tabs>
      </w:pPr>
      <w:r>
        <w:rPr>
          <w:sz w:val="21"/>
        </w:rPr>
        <w:t>Appendix C Submitted project proposal</w:t>
      </w:r>
      <w:r>
        <w:tab/>
      </w:r>
      <w:r>
        <w:rPr>
          <w:sz w:val="21"/>
        </w:rPr>
        <w:t>16</w:t>
      </w:r>
    </w:p>
    <w:p>
      <w:r>
        <w:br w:type="page"/>
      </w:r>
    </w:p>
    <w:p>
      <w:pPr>
        <w:pStyle w:val="Heading1"/>
      </w:pPr>
      <w:r>
        <w:t>Executive summary</w:t>
      </w:r>
    </w:p>
    <w:p>
      <w:r>
        <w:rPr>
          <w:sz w:val="22"/>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resource optimisation, and cognitive systems.</w:t>
      </w:r>
    </w:p>
    <w:p>
      <w:r>
        <w:rPr>
          <w:sz w:val="22"/>
        </w:rPr>
        <w:t>The principal result is an implemented, auditable workflow rather than a validated medicine-quality predictor. M3 agreed with historical adjudicated labels in 54 of 57 synthetic scenarios, but missed all three historical quarantine cases. The shipment-risk experiment achieved five-fold PR-AUC 0.7087 and F1 0.6635; monthly candidate-cause classification remained weak. A subsequent event-level simulation study improved held-out macro-F1, while retaining substantial multi-fault and extreme-condition failures. Static routing experiments produced complete feasible solutions in 49 comparisons.</w:t>
      </w:r>
    </w:p>
    <w:p>
      <w:r>
        <w:rPr>
          <w:sz w:val="22"/>
        </w:rPr>
        <w:t>Independent M6 evaluation remains incomplete: reviewer A supplied both annotation files, while reviewer B's files, the process record and any necessary adjudication have not been collected.</w:t>
      </w:r>
    </w:p>
    <w:p>
      <w:r>
        <w:rPr>
          <w:sz w:val="22"/>
        </w:rPr>
        <w:t>Operational orders and event observations are simulated. Engineering temperature limits are not manufacturer stability limits, model candidates cannot authorise disposition, and human review governs the effective result used by downstream delivery. The deployment is a local demonstration with persistent storage and recovery checks, not a public or clinically validated service.</w:t>
      </w:r>
    </w:p>
    <w:p>
      <w:pPr>
        <w:pStyle w:val="Heading1"/>
      </w:pPr>
      <w:r>
        <w:t>1 Business problem, market context and related work</w:t>
      </w:r>
    </w:p>
    <w:p>
      <w:pPr>
        <w:pStyle w:val="Heading2"/>
      </w:pPr>
      <w:r>
        <w:t>1.1 The operational problem</w:t>
      </w:r>
    </w:p>
    <w:p>
      <w:r>
        <w:rPr>
          <w:sz w:val="22"/>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r>
        <w:rPr>
          <w:sz w:val="22"/>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pPr>
        <w:pStyle w:val="Heading2"/>
      </w:pPr>
      <w:r>
        <w:t>1.2 Market and regulatory context</w:t>
      </w:r>
    </w:p>
    <w:p>
      <w:r>
        <w:rPr>
          <w:sz w:val="22"/>
        </w:rPr>
        <w:t>Temperature-controlled pharmaceutical distribution is governed by good-distribution requirements: storage and transport conditions must be specified, monitored and documented, and deviations must be investigated before a batch is released or rejected [2]. Monitoring itself is a mature market. Data loggers, probes and cloud dashboards are widely deployed, and commercial platforms already combine shipment visibility with stability and quality workflows [1]. The bottleneck we address is therefore not sensing but the handover between an observation, a defensible disposition and the logistics response that follows it.</w:t>
      </w:r>
    </w:p>
    <w:p>
      <w:r>
        <w:rPr>
          <w:sz w:val="22"/>
        </w:rPr>
        <w:t>That handover has three properties a dashboard alone does not provide. The decision must remain inspectable after the fact; the original recommendation must survive a later human override; and any replacement plan must stay tied to the same case identity. Commercial platforms may implement some of these properties, but we make no vendor benchmark and no claim that competitors merely raise alarms. The market discussion in the submitted proposal is contextual research, not a current competitive analysis [1].</w:t>
      </w:r>
    </w:p>
    <w:p>
      <w:pPr>
        <w:pStyle w:val="Heading2"/>
      </w:pPr>
      <w:r>
        <w:t>1.3 Related work</w:t>
      </w:r>
    </w:p>
    <w:p>
      <w:r>
        <w:rPr>
          <w:sz w:val="22"/>
        </w:rPr>
        <w:t>Cold-chain excursion evidence. Matthias et al. reviewed freezing events in vaccine cold chains and found them widespread and often undetected by routine practice [14]. Kartoglu and Milstien surveyed the tools available for protecting vaccine quality across the chain and argued that the weakest link is frequently the decision and documentation process rather than the sensor [15]. Both findings support an evidence-first disposition workflow, but neither provides an auditable software path from an excursion observation to a logged, reviewable decision.</w:t>
      </w:r>
    </w:p>
    <w:p>
      <w:r>
        <w:rPr>
          <w:sz w:val="22"/>
        </w:rPr>
        <w:t>Explainability and decision support. SHAP assigns additive feature attributions with a consistent theoretical basis [16]. We use it offline to inspect model behaviour and explicitly do not treat attributions as causes; the operational decision remains rule-based and human-reviewed. This reflects a broader lesson from decision-support research: explanation is a property of the whole workflow, not of a single model output.</w:t>
      </w:r>
    </w:p>
    <w:p>
      <w:r>
        <w:rPr>
          <w:sz w:val="22"/>
        </w:rPr>
        <w:t>Routing. Solomon's VRPTW instances remain the standard comparison set for constrained vehicle routing [6], and OR-Tools provides a time-bounded guided-local-search solver over the same formulation. Our contribution is not a new routing algorithm; it is the integration of routing constraints with case-level replacement demand and recorded execution state.</w:t>
      </w:r>
    </w:p>
    <w:p>
      <w:r>
        <w:rPr>
          <w:sz w:val="22"/>
        </w:rPr>
        <w:t>Knowledge graphs. Property-graph case chains follow the general knowledge-graph model of typed entities and relations [17]. We use fixed template queries rather than an LLM so that every answer has a traceable query, an explicit scope and a distinguishable failure state.</w:t>
      </w:r>
    </w:p>
    <w:p>
      <w:pPr>
        <w:pStyle w:val="Heading2"/>
      </w:pPr>
      <w:r>
        <w:t>1.4 Positioning and contribution</w:t>
      </w:r>
    </w:p>
    <w:p>
      <w:r>
        <w:rPr>
          <w:sz w:val="22"/>
        </w:rPr>
        <w:t>The project contributes an inspectable integration of four IRS technique groups — decision automation, knowledge discovery and data mining, resource optimisation, and cognitive systems — around one case identity. Its distinguishing property is not predictive accuracy but the ability to show, after the fact, which evidence produced which recommendation and which human decision became effective. The prototype is a teaching artefact on simulated data; it is not a validated medicine-quality predictor and does not claim measured operational savings.</w:t>
      </w:r>
    </w:p>
    <w:p>
      <w:pPr>
        <w:pStyle w:val="Heading1"/>
      </w:pPr>
      <w:r>
        <w:t>2 Domain foundations and method selection</w:t>
      </w:r>
    </w:p>
    <w:p>
      <w:r>
        <w:rPr>
          <w:sz w:val="22"/>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r>
        <w:rPr>
          <w:sz w:val="22"/>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r>
        <w:rPr>
          <w:sz w:val="22"/>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r>
        <w:rPr>
          <w:sz w:val="22"/>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 or unrestricted semantic question-answering service [4, 7].</w:t>
      </w:r>
    </w:p>
    <w:p>
      <w:pPr>
        <w:pStyle w:val="Heading1"/>
      </w:pPr>
      <w:r>
        <w:t>3 System architecture</w:t>
      </w:r>
    </w:p>
    <w:p>
      <w:pPr>
        <w:keepNext/>
        <w:jc w:val="center"/>
      </w:pPr>
      <w:r>
        <w:drawing>
          <wp:inline xmlns:a="http://schemas.openxmlformats.org/drawingml/2006/main" xmlns:pic="http://schemas.openxmlformats.org/drawingml/2006/picture">
            <wp:extent cx="6217920" cy="5715000"/>
            <wp:docPr id="1" name="Picture 1"/>
            <wp:cNvGraphicFramePr>
              <a:graphicFrameLocks noChangeAspect="1"/>
            </wp:cNvGraphicFramePr>
            <a:graphic>
              <a:graphicData uri="http://schemas.openxmlformats.org/drawingml/2006/picture">
                <pic:pic>
                  <pic:nvPicPr>
                    <pic:cNvPr id="0" name="final-system-architecture.png"/>
                    <pic:cNvPicPr/>
                  </pic:nvPicPr>
                  <pic:blipFill>
                    <a:blip r:embed="rId10"/>
                    <a:stretch>
                      <a:fillRect/>
                    </a:stretch>
                  </pic:blipFill>
                  <pic:spPr>
                    <a:xfrm>
                      <a:off x="0" y="0"/>
                      <a:ext cx="6217920" cy="5715000"/>
                    </a:xfrm>
                    <a:prstGeom prst="rect"/>
                  </pic:spPr>
                </pic:pic>
              </a:graphicData>
            </a:graphic>
          </wp:inline>
        </w:drawing>
      </w:r>
    </w:p>
    <w:p>
      <w:pPr>
        <w:jc w:val="center"/>
      </w:pPr>
      <w:r>
        <w:rPr>
          <w:sz w:val="18"/>
        </w:rPr>
        <w:t>Figure 1. Implemented module flow. The advisory path (M4) is drawn separately from the decision path (M3).</w:t>
      </w:r>
    </w:p>
    <w:p>
      <w:r>
        <w:rPr>
          <w:sz w:val="22"/>
        </w:rPr>
        <w:t>The seven modules share case, order and product identifiers while preserving different responsibilities.</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Module</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Implemented responsibility</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Principal output</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M1</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Dataset validation and reproducible simulated business inputs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Validated features and seeded order batches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M2</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Explicit temperature intervals, hot/cold windows and duration-weighted MKT</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Exposure summary with coverage and source observations</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M3</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Priority rules, evidence mappings and review requirements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Original recommendation and rule path</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M4</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Risk and candidate-cause experiments and advisory inference</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Versioned scores and candidate snapshots</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M5</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Constrained delivery planning and execution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Plans, operation state and explicit infeasibility reasons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M6</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Neo4j case chains and structured evidence queries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Case-specific answers and provenance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M7</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FastAPI, Vue, SQLite persistence and Docker integration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Bilingual online interface and offline rule sandbox</w:t>
            </w:r>
          </w:p>
        </w:tc>
      </w:tr>
    </w:tbl>
    <w:p>
      <w:pPr>
        <w:spacing w:after="0"/>
      </w:pPr>
    </w:p>
    <w:p>
      <w:r>
        <w:rPr>
          <w:sz w:val="22"/>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r>
        <w:rPr>
          <w:sz w:val="22"/>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r>
        <w:rPr>
          <w:sz w:val="22"/>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Pr>
      <w:r>
        <w:t>4 Implementation and workflow</w:t>
      </w:r>
    </w:p>
    <w:p>
      <w:pPr>
        <w:pStyle w:val="Heading2"/>
      </w:pPr>
      <w:r>
        <w:t>4.1 Temperature assessment and human review</w:t>
      </w:r>
    </w:p>
    <w:p>
      <w:r>
        <w:rPr>
          <w:sz w:val="22"/>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r>
        <w:rPr>
          <w:sz w:val="22"/>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r>
        <w:rPr>
          <w:sz w:val="22"/>
        </w:rPr>
        <w:t>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r>
        <w:rPr>
          <w:sz w:val="22"/>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r>
        <w:rPr>
          <w:sz w:val="22"/>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day-end terminals. Parking must complete before a new day inherits vehicle positions [12].</w:t>
      </w:r>
    </w:p>
    <w:p>
      <w:pPr>
        <w:keepNext/>
        <w:jc w:val="center"/>
      </w:pPr>
      <w:r>
        <w:drawing>
          <wp:inline xmlns:a="http://schemas.openxmlformats.org/drawingml/2006/main" xmlns:pic="http://schemas.openxmlformats.org/drawingml/2006/picture">
            <wp:extent cx="6217920" cy="4480560"/>
            <wp:docPr id="2" name="Picture 2"/>
            <wp:cNvGraphicFramePr>
              <a:graphicFrameLocks noChangeAspect="1"/>
            </wp:cNvGraphicFramePr>
            <a:graphic>
              <a:graphicData uri="http://schemas.openxmlformats.org/drawingml/2006/picture">
                <pic:pic>
                  <pic:nvPicPr>
                    <pic:cNvPr id="0" name="dispatch_disruption_comparison.png"/>
                    <pic:cNvPicPr/>
                  </pic:nvPicPr>
                  <pic:blipFill>
                    <a:blip r:embed="rId11"/>
                    <a:stretch>
                      <a:fillRect/>
                    </a:stretch>
                  </pic:blipFill>
                  <pic:spPr>
                    <a:xfrm>
                      <a:off x="0" y="0"/>
                      <a:ext cx="6217920" cy="4480560"/>
                    </a:xfrm>
                    <a:prstGeom prst="rect"/>
                  </pic:spPr>
                </pic:pic>
              </a:graphicData>
            </a:graphic>
          </wp:inline>
        </w:drawing>
      </w:r>
    </w:p>
    <w:p>
      <w:pPr>
        <w:jc w:val="center"/>
      </w:pPr>
      <w:r>
        <w:rPr>
          <w:sz w:val="18"/>
        </w:rPr>
        <w:t>Figure 2. Re-route preview for a scrapped case in the live demo, comparing the original plan, the cheapest option (use in-transit surplus) and the most expensive option (return to depot). Interface text is shown in Chinese mode; distances and minutes come from the routing API.</w:t>
      </w:r>
    </w:p>
    <w:p>
      <w:r>
        <w:rPr>
          <w:sz w:val="22"/>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PDPTW in-transit rescue is explicitly unsupported rather than silently approximated [13].</w:t>
      </w:r>
    </w:p>
    <w:p>
      <w:pPr>
        <w:pStyle w:val="Heading2"/>
      </w:pPr>
      <w:r>
        <w:t>4.3 Advisory models and graph queries</w:t>
      </w:r>
    </w:p>
    <w:p>
      <w:r>
        <w:rPr>
          <w:sz w:val="22"/>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r>
        <w:rPr>
          <w:sz w:val="22"/>
        </w:rPr>
        <w:t>M6 supports disposition reasons, audit chains, product requirements, cause context and disposition statistics. Missing cases, insufficient evidence and graph unavailability are distinct states. The current frontend labels conceptual help separately, offers explicit structured query selection and refuses unsupported questions. Failed graph queries do not silently become conceptual answers [7].</w:t>
      </w:r>
    </w:p>
    <w:p>
      <w:pPr>
        <w:pStyle w:val="Heading1"/>
      </w:pPr>
      <w:r>
        <w:t>5 Data and evaluation design</w:t>
      </w:r>
    </w:p>
    <w:p>
      <w:r>
        <w:rPr>
          <w:sz w:val="22"/>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recorded in the data dictionary: the shipment-risk set is a public Kaggle release under CC0 whose documentation and internal checks indicate synthetic generation, and the monthly cause set is explicitly simulated [2, 4].</w:t>
      </w:r>
    </w:p>
    <w:p>
      <w:r>
        <w:rPr>
          <w:sz w:val="22"/>
        </w:rPr>
        <w:t>The risk task uses 8,000 shipment rows, including 1,574 failures, with 13 summary features. The cause task filters 16,192 excursion-month rows into ten candidate-cause classes with 15 features. The latter has 447 provided facility-ID groups and 48 months, but these are not verified real institutions or event timestamps [4].</w:t>
      </w:r>
    </w:p>
    <w:p>
      <w:r>
        <w:rPr>
          <w:sz w:val="22"/>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r>
        <w:rPr>
          <w:sz w:val="22"/>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Pr>
      <w:r>
        <w:t>6 Experimental results</w:t>
      </w:r>
    </w:p>
    <w:p>
      <w:pPr>
        <w:pStyle w:val="Heading2"/>
      </w:pPr>
      <w:r>
        <w:t>6.1 Rule engine</w:t>
      </w:r>
    </w:p>
    <w:p>
      <w:r>
        <w:rPr>
          <w:sz w:val="22"/>
        </w:rPr>
        <w:t>M3 agreed with 54 of 57 historical labels, or 94.7368%. Macro-F1 was 0.717437. Engine-to-gold Cohen's kappa was 0.909667; historical annotator-to-annotator kappa was 0.6434. These are different statistics. All three quarantine-labelled cases were missed because the current frozen engine policy has no automatic quarantine output. We retain those cases and the four-class denominator [3].</w:t>
      </w:r>
    </w:p>
    <w:tbl>
      <w:tblPr>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Historical class</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Support</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Recall</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F1</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release</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13</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0.9286</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retest</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8</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0.9412</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quarantine</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3</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0.0000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0.0000</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scrap</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33</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1.0000</w:t>
            </w:r>
          </w:p>
        </w:tc>
      </w:tr>
    </w:tbl>
    <w:p>
      <w:pPr>
        <w:spacing w:after="0"/>
      </w:pPr>
    </w:p>
    <w:p>
      <w:r>
        <w:rPr>
          <w:sz w:val="22"/>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Risk metric</w:t>
            </w:r>
          </w:p>
        </w:tc>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Five-fold result</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F1 at selection-chosen thresholds</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0.6635 +/- 0.0179</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ROC-AUC</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0.9045 +/- 0.0092</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PR-AUC</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0.7087 +/- 0.0296</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Brier score before and after calibration</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0.1091 to 0.0933</w:t>
            </w:r>
          </w:p>
        </w:tc>
      </w:tr>
    </w:tbl>
    <w:p>
      <w:pPr>
        <w:spacing w:after="0"/>
      </w:pPr>
    </w:p>
    <w:p>
      <w:pPr>
        <w:keepNext/>
        <w:jc w:val="center"/>
      </w:pPr>
      <w:r>
        <w:drawing>
          <wp:inline xmlns:a="http://schemas.openxmlformats.org/drawingml/2006/main" xmlns:pic="http://schemas.openxmlformats.org/drawingml/2006/picture">
            <wp:extent cx="4389120" cy="4192705"/>
            <wp:docPr id="3" name="Picture 3"/>
            <wp:cNvGraphicFramePr>
              <a:graphicFrameLocks noChangeAspect="1"/>
            </wp:cNvGraphicFramePr>
            <a:graphic>
              <a:graphicData uri="http://schemas.openxmlformats.org/drawingml/2006/picture">
                <pic:pic>
                  <pic:nvPicPr>
                    <pic:cNvPr id="0" name="shap_risk.png"/>
                    <pic:cNvPicPr/>
                  </pic:nvPicPr>
                  <pic:blipFill>
                    <a:blip r:embed="rId12"/>
                    <a:stretch>
                      <a:fillRect/>
                    </a:stretch>
                  </pic:blipFill>
                  <pic:spPr>
                    <a:xfrm>
                      <a:off x="0" y="0"/>
                      <a:ext cx="4389120" cy="4192705"/>
                    </a:xfrm>
                    <a:prstGeom prst="rect"/>
                  </pic:spPr>
                </pic:pic>
              </a:graphicData>
            </a:graphic>
          </wp:inline>
        </w:drawing>
      </w:r>
    </w:p>
    <w:p>
      <w:pPr>
        <w:jc w:val="center"/>
      </w:pPr>
      <w:r>
        <w:rPr>
          <w:sz w:val="18"/>
        </w:rPr>
        <w:t>Figure 3. Offline Kernel SHAP summary for the selected risk model. Attributions describe model behaviour and are not causal claims.</w:t>
      </w:r>
    </w:p>
    <w:p>
      <w:r>
        <w:rPr>
          <w:sz w:val="22"/>
        </w:rPr>
        <w:t>For full15 monthly cause classification, macro-F1 was 0.1322 under random folds, 0.1308 under provided-ID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r>
        <w:rPr>
          <w:sz w:val="22"/>
        </w:rPr>
        <w:t>Offline Kernel SHAP was matched to the relevant model identities and checked for additive reconstruction within its numerical tolerance. Online reference-feature replacement remains a sensitivity display and is not relabelled as SHAP. Neither method proves the cause of an individual event [4].</w:t>
      </w:r>
    </w:p>
    <w:p>
      <w:pPr>
        <w:pStyle w:val="Heading2"/>
      </w:pPr>
      <w:r>
        <w:t>6.3 Event-level temporal study</w:t>
      </w:r>
    </w:p>
    <w:tbl>
      <w:tblPr>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Held-out role</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Selected temporal v2 macro-F1</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Frozen earlier event model macro-F1</w:t>
            </w:r>
          </w:p>
        </w:tc>
        <w:tc>
          <w:tcPr>
            <w:tcW w:type="dxa" w:w="252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Supported candidate coverage</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nominal new assets</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0.7668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0.6125</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17.33%</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other new assets</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0.7619</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0.6111</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20.67%</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unseen excitation</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0.7228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0.5880</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13.83%</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covered stress</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0.7528</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0.5126</w:t>
            </w:r>
          </w:p>
        </w:tc>
        <w:tc>
          <w:tcPr>
            <w:tcW w:type="dxa" w:w="2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2.50%</w:t>
            </w:r>
          </w:p>
        </w:tc>
      </w:tr>
      <w:tr>
        <w:trPr>
          <w:cantSplit/>
        </w:trPr>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more extreme stress</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0.6505</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0.5068</w:t>
            </w:r>
          </w:p>
        </w:tc>
        <w:tc>
          <w:tcPr>
            <w:tcW w:type="dxa" w:w="252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0%</w:t>
            </w:r>
          </w:p>
        </w:tc>
      </w:tr>
    </w:tbl>
    <w:p>
      <w:pPr>
        <w:spacing w:after="0"/>
      </w:pPr>
    </w:p>
    <w:p>
      <w:r>
        <w:rPr>
          <w:sz w:val="22"/>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r>
        <w:rPr>
          <w:sz w:val="22"/>
        </w:rPr>
        <w:t>Raw normal-event false alarms remained 47.73-90.80%. Extreme multi-fault complete-set accuracy fell from 11.96% to 8.70% despite improved recall. Thermal-buffer F1 remained approximately 0.079-0.260. Observationally identical door/staff and power/fuel mechanism combinations show why tuning alone cannot resolve every cause label. The system must expose ambiguity and request additional evidence [5].</w:t>
      </w:r>
    </w:p>
    <w:p>
      <w:pPr>
        <w:pStyle w:val="Heading2"/>
      </w:pPr>
      <w:r>
        <w:t>6.4 Static routing</w:t>
      </w:r>
    </w:p>
    <w:p>
      <w:r>
        <w:rPr>
          <w:sz w:val="22"/>
        </w:rPr>
        <w:t>The formal comparison has 49 solver runs across six Solomon instances and one Singapore instance. All runs served every target without recorded hard violations. On Singapore, greedy used three vehicles and 165.26 km; OR-Tools used three and 137.85 km. This is a 16.59% distance reduction for that frozen static instance, not an operational savings estimate [6].</w:t>
      </w:r>
    </w:p>
    <w:p>
      <w:r>
        <w:rPr>
          <w:sz w:val="22"/>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r>
        <w:rPr>
          <w:sz w:val="22"/>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independent human evaluation</w:t>
      </w:r>
    </w:p>
    <w:p>
      <w:r>
        <w:rPr>
          <w:sz w:val="22"/>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r>
        <w:rPr>
          <w:sz w:val="22"/>
        </w:rPr>
        <w:t>Reviewer A has supplied 53 intent labels and 53 answer/evidence ratings in separate completed files. The project owner confirmed human authorship on 2026-10-17. Structural checks verify IDs, allowed values and frozen hashes. Reviewer A assigned correctness 2 to 28 answers, 1 to 21 and 0 to four; evidence relevance was 0 for 41, 2 for eight and not applicable for four. Unsupported claims were flagged in ten answers. These are one reviewer's observations, not dual-rater adequacy or independent system accuracy.</w:t>
      </w:r>
    </w:p>
    <w:p>
      <w:r>
        <w:rPr>
          <w:sz w:val="22"/>
        </w:rPr>
        <w:t>Reviewer B's two files are unavailable in the repository. Human-human kappa, adjudicated intent accuracy and the proportion rated adequate by both reviewers are therefore unavailable. The A-rating upload also records corrections to reviewer ID and source URLs; actual consultation of replacement sources must be documented by the reviewer. Source strings and valid hashes cannot establish provenance, independence or professional competence [7].</w:t>
      </w:r>
    </w:p>
    <w:p>
      <w:r>
        <w:rPr>
          <w:sz w:val="22"/>
        </w:rPr>
        <w:t>The current interface now separates structured graph queries, concept help, clarification and refusal. It offers five explicit query types, clears stale replies on context changes and exposes recorded reference links. General FAQ text no longer asserts mandatory destruction or that every response has regulatory grounding. These are repairs informed by observed failures and developer regression checks; they do not change or re-score the frozen v1 answers.</w:t>
      </w:r>
    </w:p>
    <w:p>
      <w:pPr>
        <w:keepNext/>
        <w:jc w:val="center"/>
      </w:pPr>
      <w:r>
        <w:drawing>
          <wp:inline xmlns:a="http://schemas.openxmlformats.org/drawingml/2006/main" xmlns:pic="http://schemas.openxmlformats.org/drawingml/2006/picture">
            <wp:extent cx="2926080" cy="2887831"/>
            <wp:docPr id="4" name="Picture 4"/>
            <wp:cNvGraphicFramePr>
              <a:graphicFrameLocks noChangeAspect="1"/>
            </wp:cNvGraphicFramePr>
            <a:graphic>
              <a:graphicData uri="http://schemas.openxmlformats.org/drawingml/2006/picture">
                <pic:pic>
                  <pic:nvPicPr>
                    <pic:cNvPr id="0" name="m6-qa-current-en.png"/>
                    <pic:cNvPicPr/>
                  </pic:nvPicPr>
                  <pic:blipFill>
                    <a:blip r:embed="rId13"/>
                    <a:stretch>
                      <a:fillRect/>
                    </a:stretch>
                  </pic:blipFill>
                  <pic:spPr>
                    <a:xfrm>
                      <a:off x="0" y="0"/>
                      <a:ext cx="2926080" cy="2887831"/>
                    </a:xfrm>
                    <a:prstGeom prst="rect"/>
                  </pic:spPr>
                </pic:pic>
              </a:graphicData>
            </a:graphic>
          </wp:inline>
        </w:drawing>
      </w:r>
    </w:p>
    <w:p>
      <w:pPr>
        <w:jc w:val="center"/>
      </w:pPr>
      <w:r>
        <w:rPr>
          <w:sz w:val="18"/>
        </w:rPr>
        <w:t>Figure 4. Structured knowledge-graph query panel: explicit query type, scope and a recorded engineering-assumption answer.</w:t>
      </w:r>
    </w:p>
    <w:p>
      <w:pPr>
        <w:pStyle w:val="Heading1"/>
      </w:pPr>
      <w:r>
        <w:t>7 Reliability and reproduction</w:t>
      </w:r>
    </w:p>
    <w:p>
      <w:r>
        <w:rPr>
          <w:sz w:val="22"/>
        </w:rPr>
        <w:t>The latest 2026-10-17 isolated regression passed 926 tests with zero skips and six existing warnings; a separate API walkthrough passed 36 checks against its own test graph. Frontend production build and nine frontend check scripts passed. Real browser checks covered refusal, concepts, source links, missing and conflicting scope, late replies after case changes, and injected transport failure without changing case records. Twenty live advisory sample replays retained their prior result fingerprint after the QA-only deployment update. These are software checks, not new model-accuracy observations [9].</w:t>
      </w:r>
    </w:p>
    <w:p>
      <w:r>
        <w:rPr>
          <w:sz w:val="22"/>
        </w:rPr>
        <w:t>Earlier checks passed 909 tests after correcting an incomplete temporary graph seed. A later 925-test run exposed optional reference metadata being filtered from HTTP responses; the response schema and serialization contract were repaired before the successful 926-test run. These earlier results and the historical 888-test baseline remain separate records. Local map-tile and no-active-operation 404 responses, plus a large-JavaScript-chunk warning, remain disclosed presentation limitations [9].</w:t>
      </w:r>
    </w:p>
    <w:p>
      <w:r>
        <w:rPr>
          <w:sz w:val="22"/>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r>
        <w:rPr>
          <w:sz w:val="22"/>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Pr>
      <w:r>
        <w:t>8 Findings and discussion</w:t>
      </w:r>
    </w:p>
    <w:p>
      <w:pPr>
        <w:pStyle w:val="Heading2"/>
      </w:pPr>
      <w:r>
        <w:t>8.1 What the results support</w:t>
      </w:r>
    </w:p>
    <w:p>
      <w:r>
        <w:rPr>
          <w:sz w:val="22"/>
        </w:rPr>
        <w:t>The implemented workflow supports a narrow but real claim: an excursion can travel from observation to a recorded, inspectable decision and a synchronised delivery response without losing the original evidence. The rule engine reproduces 54 of 57 historical adjudications; the risk model reaches a five-fold PR-AUC of 0.7087; the event-level study improves held-out macro-F1 across five roles; and static routing produces complete feasible plans in 49 runs. Each result belongs to its own protocol, and none of them is an end-to-end accuracy figure.</w:t>
      </w:r>
    </w:p>
    <w:p>
      <w:pPr>
        <w:pStyle w:val="Heading2"/>
      </w:pPr>
      <w:r>
        <w:t>8.2 Why the rule engine misses quarantine</w:t>
      </w:r>
    </w:p>
    <w:p>
      <w:r>
        <w:rPr>
          <w:sz w:val="22"/>
        </w:rPr>
        <w:t>All three disagreements are quarantine cases (S034, S035 and S052). The frozen policy emits only release, retest and scrap, while quarantine exists as a human outcome and as a historical label. The gap is therefore a specification difference, not a coding defect: the historical annotators used a category the deployed policy does not produce. We keep the four-class denominator and report zero quarantine recall rather than relabelling the cases to improve the headline number.</w:t>
      </w:r>
    </w:p>
    <w:p>
      <w:r>
        <w:rPr>
          <w:sz w:val="22"/>
        </w:rPr>
        <w:t>The same reasoning limits how the agreement rate should be read. Fifty-four of fifty-seven is agreement with one frozen adjudication on a small synthetic scenario bank, not clinical accuracy. The high engine-to-gold kappa of 0.909667 is inflated by the skewed class distribution and by the fact that three of four classes are produced perfectly; it is not comparable to the historical annotator-to-annotator kappa of 0.6434, which describes a different task between different people.</w:t>
      </w:r>
    </w:p>
    <w:p>
      <w:pPr>
        <w:pStyle w:val="Heading2"/>
      </w:pPr>
      <w:r>
        <w:t>8.3 Why monthly cause classification remains weak</w:t>
      </w:r>
    </w:p>
    <w:p>
      <w:r>
        <w:rPr>
          <w:sz w:val="22"/>
        </w:rPr>
        <w:t>The cause dataset has no event timestamp and only monthly aggregates. Its 447 provided facility groups and 48 months add some structure, but not the physical signal that separates mechanisms such as door opening from staff handling. Macro-F1 near 0.13 and Top-1 near 0.17 are consistent with weak extra feature signal rather than a tuning failure; the learnability audit, including shuffled-label controls and capacity probes, supports that reading. The practical consequence is that candidate causes remain advisory labels for a human reviewer, not diagnoses.</w:t>
      </w:r>
    </w:p>
    <w:p>
      <w:pPr>
        <w:pStyle w:val="Heading2"/>
      </w:pPr>
      <w:r>
        <w:t>8.4 What the event-level study adds</w:t>
      </w:r>
    </w:p>
    <w:p>
      <w:r>
        <w:rPr>
          <w:sz w:val="22"/>
        </w:rPr>
        <w:t>The simulated event study supplies the temporal and mechanistic detail the monthly data lack. Held-out macro-F1 rises to roughly 0.65–0.77 and within-supported precision is high, but supported coverage stays between 0% and 20.7%, and the extreme-stress cohort supports no candidates at all. Normal-event false alarms remain 47.7–90.8%. Improvement on one simulator is not external validity: all 3,000 test events still required human review, and the extremes show that multi-fault ambiguity survives both better models and more data.</w:t>
      </w:r>
    </w:p>
    <w:p>
      <w:pPr>
        <w:pStyle w:val="Heading2"/>
      </w:pPr>
      <w:r>
        <w:t>8.5 Deployment implications and limits</w:t>
      </w:r>
    </w:p>
    <w:p>
      <w:r>
        <w:rPr>
          <w:sz w:val="22"/>
        </w:rPr>
        <w:t>The system is a single-worker, loopback-bound demonstration with persistent storage and recovery checks. It has no authentication, no multi-user transaction control and no production service-level agreement. The audit hash detects change; it is not a signature or a compliance certificate. The map shows cached geometry, not live GPS or traffic. These are deliberate boundaries for a teaching prototype, and they are stated in the interface and the user manual rather than left implicit.</w:t>
      </w:r>
    </w:p>
    <w:p>
      <w:pPr>
        <w:pStyle w:val="Heading2"/>
      </w:pPr>
      <w:r>
        <w:t>8.6 Remaining work</w:t>
      </w:r>
    </w:p>
    <w:p>
      <w:r>
        <w:rPr>
          <w:sz w:val="22"/>
        </w:rPr>
        <w:t>Three items dominate. First, independent dual review of the M6 answers: reviewer B and any required adjudication are still outstanding, so the report presents one reviewer's observations and does not claim dual-rater adequacy. Second, product-specific stability evidence would be needed before any engineering threshold could be described as a release limit. Third, authenticated multi-user operation, real order integration and production monitoring are product work beyond the module. The first is a submission dependency; the other two are research and engineering directions.</w:t>
      </w:r>
    </w:p>
    <w:p>
      <w:pPr>
        <w:pStyle w:val="Heading2"/>
      </w:pPr>
      <w:r>
        <w:t>8.7 Team contributions and cross-review</w:t>
      </w:r>
    </w:p>
    <w:p>
      <w:r>
        <w:rPr>
          <w:sz w:val="22"/>
        </w:rPr>
        <w:t>Module ownership follows the proposal and is recorded here for traceability. It is not a mark allocation, and the confidential peer-review forms remain the official contribution record.</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Area</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Primary implementation</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Independent check recorded in this report</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M1 simulated data and seeds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B</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A: provenance, licence and data-dictionary audit</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M2 exposure and MKT</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B</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A: formula, interval and missing-data contract review</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M3 rules and rule evaluation</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A</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B: threshold and label review</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M4 risk and cause experiments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B</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A: split, calibration and leakage review</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M5 routing and dispatch</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 API and UI contract review</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M6 graph and QA</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D</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A: evidence-state and refusal review</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M7 API, frontend and deployment</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 dispatch contract review</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Report, videos and submission pack</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A report, D videos, C packaging, B data statements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Whole-team read-through</w:t>
            </w:r>
          </w:p>
        </w:tc>
      </w:tr>
    </w:tbl>
    <w:p>
      <w:pPr>
        <w:spacing w:after="0"/>
      </w:pPr>
    </w:p>
    <w:p>
      <w:r>
        <w:rPr>
          <w:sz w:val="22"/>
        </w:rPr>
        <w:t>The cross-checks are visible in the repository history and in the module documents cited above. They show review relationships rather than a division of credit.</w:t>
      </w:r>
    </w:p>
    <w:p>
      <w:pPr>
        <w:pStyle w:val="Heading1"/>
      </w:pPr>
      <w:r>
        <w:t>References and project evidence</w:t>
      </w:r>
    </w:p>
    <w:p>
      <w:r>
        <w:rPr>
          <w:sz w:val="20"/>
        </w:rPr>
        <w:t>1. Submitted proposal, PharmaColdOps-Proposal-Group 41.pdf, 2026-09-13. Reproduced as Appendix C in the PDF report.</w:t>
      </w:r>
    </w:p>
    <w:p>
      <w:r>
        <w:rPr>
          <w:sz w:val="20"/>
        </w:rPr>
        <w:t xml:space="preserve">2. </w:t>
      </w:r>
      <w:hyperlink r:id="rId14">
        <w:r>
          <w:rPr>
            <w:color w:val="000000"/>
            <w:sz w:val="20"/>
          </w:rPr>
          <w:t>Threshold evidence audit</w:t>
        </w:r>
      </w:hyperlink>
      <w:r>
        <w:rPr>
          <w:sz w:val="20"/>
        </w:rPr>
        <w:t xml:space="preserve"> and </w:t>
      </w:r>
      <w:hyperlink r:id="rId15">
        <w:r>
          <w:rPr>
            <w:color w:val="000000"/>
            <w:sz w:val="20"/>
          </w:rPr>
          <w:t>data dictionary</w:t>
        </w:r>
      </w:hyperlink>
      <w:r>
        <w:rPr>
          <w:sz w:val="20"/>
        </w:rPr>
        <w:t xml:space="preserve">. Public anchors: </w:t>
      </w:r>
      <w:hyperlink r:id="rId16">
        <w:r>
          <w:rPr>
            <w:color w:val="000000"/>
            <w:sz w:val="20"/>
          </w:rPr>
          <w:t>WHO TRS 961 Annex 9</w:t>
        </w:r>
      </w:hyperlink>
      <w:r>
        <w:rPr>
          <w:sz w:val="20"/>
        </w:rPr>
        <w:t xml:space="preserve"> and </w:t>
      </w:r>
      <w:hyperlink r:id="rId17">
        <w:r>
          <w:rPr>
            <w:color w:val="000000"/>
            <w:sz w:val="20"/>
          </w:rPr>
          <w:t>EU GDP</w:t>
        </w:r>
      </w:hyperlink>
      <w:r>
        <w:rPr>
          <w:sz w:val="20"/>
        </w:rPr>
        <w:t>. The project audit records applicability and assumptions.</w:t>
      </w:r>
    </w:p>
    <w:p>
      <w:r>
        <w:rPr>
          <w:sz w:val="20"/>
        </w:rPr>
        <w:t xml:space="preserve">3. </w:t>
      </w:r>
      <w:hyperlink r:id="rId18">
        <w:r>
          <w:rPr>
            <w:color w:val="000000"/>
            <w:sz w:val="20"/>
          </w:rPr>
          <w:t>M3 formal evaluation</w:t>
        </w:r>
      </w:hyperlink>
      <w:r>
        <w:rPr>
          <w:sz w:val="20"/>
        </w:rPr>
        <w:t xml:space="preserve"> and </w:t>
      </w:r>
      <w:hyperlink r:id="rId19">
        <w:r>
          <w:rPr>
            <w:color w:val="000000"/>
            <w:sz w:val="20"/>
          </w:rPr>
          <w:t>human effective dispositions</w:t>
        </w:r>
      </w:hyperlink>
      <w:r>
        <w:rPr>
          <w:sz w:val="20"/>
        </w:rPr>
        <w:t>. Frozen formal evaluation, 2026-10-03.</w:t>
      </w:r>
    </w:p>
    <w:p>
      <w:r>
        <w:rPr>
          <w:sz w:val="20"/>
        </w:rPr>
        <w:t xml:space="preserve">4. </w:t>
      </w:r>
      <w:hyperlink r:id="rId20">
        <w:r>
          <w:rPr>
            <w:color w:val="000000"/>
            <w:sz w:val="20"/>
          </w:rPr>
          <w:t>M4 formal experiments</w:t>
        </w:r>
      </w:hyperlink>
      <w:r>
        <w:rPr>
          <w:sz w:val="20"/>
        </w:rPr>
        <w:t xml:space="preserve"> and </w:t>
      </w:r>
      <w:hyperlink r:id="rId21">
        <w:r>
          <w:rPr>
            <w:color w:val="000000"/>
            <w:sz w:val="20"/>
          </w:rPr>
          <w:t>cause-data learnability audit</w:t>
        </w:r>
      </w:hyperlink>
      <w:r>
        <w:rPr>
          <w:sz w:val="20"/>
        </w:rPr>
        <w:t>. Formal folds, calibration, ablations and model-matched explanations.</w:t>
      </w:r>
    </w:p>
    <w:p>
      <w:r>
        <w:rPr>
          <w:sz w:val="20"/>
        </w:rPr>
        <w:t xml:space="preserve">5. </w:t>
      </w:r>
      <w:hyperlink r:id="rId22">
        <w:r>
          <w:rPr>
            <w:color w:val="000000"/>
            <w:sz w:val="20"/>
          </w:rPr>
          <w:t>Temporal event-v2 evaluation</w:t>
        </w:r>
      </w:hyperlink>
      <w:r>
        <w:rPr>
          <w:sz w:val="20"/>
        </w:rPr>
        <w:t xml:space="preserve"> and </w:t>
      </w:r>
      <w:hyperlink r:id="rId23">
        <w:r>
          <w:rPr>
            <w:color w:val="000000"/>
            <w:sz w:val="20"/>
          </w:rPr>
          <w:t>shadow API and UI</w:t>
        </w:r>
      </w:hyperlink>
      <w:r>
        <w:rPr>
          <w:sz w:val="20"/>
        </w:rPr>
        <w:t>. Independent event study and advisory contract.</w:t>
      </w:r>
    </w:p>
    <w:p>
      <w:r>
        <w:rPr>
          <w:sz w:val="20"/>
        </w:rPr>
        <w:t xml:space="preserve">6. </w:t>
      </w:r>
      <w:hyperlink r:id="rId24">
        <w:r>
          <w:rPr>
            <w:color w:val="000000"/>
            <w:sz w:val="20"/>
          </w:rPr>
          <w:t>M5 formal evaluation</w:t>
        </w:r>
      </w:hyperlink>
      <w:r>
        <w:rPr>
          <w:sz w:val="20"/>
        </w:rPr>
        <w:t xml:space="preserve">. Solomon, M. M. (1987), Algorithms for the Vehicle Routing and Scheduling Problems with Time Window Constraints, </w:t>
      </w:r>
      <w:hyperlink r:id="rId25">
        <w:r>
          <w:rPr>
            <w:color w:val="000000"/>
            <w:sz w:val="20"/>
          </w:rPr>
          <w:t>original paper</w:t>
        </w:r>
      </w:hyperlink>
      <w:r>
        <w:rPr>
          <w:sz w:val="20"/>
        </w:rPr>
        <w:t xml:space="preserve">; frozen comparison documented against </w:t>
      </w:r>
      <w:hyperlink r:id="rId26">
        <w:r>
          <w:rPr>
            <w:color w:val="000000"/>
            <w:sz w:val="20"/>
          </w:rPr>
          <w:t>SINTEF reference results</w:t>
        </w:r>
      </w:hyperlink>
      <w:r>
        <w:rPr>
          <w:sz w:val="20"/>
        </w:rPr>
        <w:t>.</w:t>
      </w:r>
    </w:p>
    <w:p>
      <w:r>
        <w:rPr>
          <w:sz w:val="20"/>
        </w:rPr>
        <w:t xml:space="preserve">7. </w:t>
      </w:r>
      <w:hyperlink r:id="rId27">
        <w:r>
          <w:rPr>
            <w:color w:val="000000"/>
            <w:sz w:val="20"/>
          </w:rPr>
          <w:t>M6 independent evaluation</w:t>
        </w:r>
      </w:hyperlink>
      <w:r>
        <w:rPr>
          <w:sz w:val="20"/>
        </w:rPr>
        <w:t xml:space="preserve">, </w:t>
      </w:r>
      <w:hyperlink r:id="rId28">
        <w:r>
          <w:rPr>
            <w:color w:val="000000"/>
            <w:sz w:val="20"/>
          </w:rPr>
          <w:t>reviewer A intent labels</w:t>
        </w:r>
      </w:hyperlink>
      <w:r>
        <w:rPr>
          <w:sz w:val="20"/>
        </w:rPr>
        <w:t xml:space="preserve"> and </w:t>
      </w:r>
      <w:hyperlink r:id="rId29">
        <w:r>
          <w:rPr>
            <w:color w:val="000000"/>
            <w:sz w:val="20"/>
          </w:rPr>
          <w:t>reviewer A answer ratings</w:t>
        </w:r>
      </w:hyperlink>
      <w:r>
        <w:rPr>
          <w:sz w:val="20"/>
        </w:rPr>
        <w:t>. Individual review inputs, not a complete two-rater report.</w:t>
      </w:r>
    </w:p>
    <w:p>
      <w:r>
        <w:rPr>
          <w:sz w:val="20"/>
        </w:rPr>
        <w:t xml:space="preserve">8. </w:t>
      </w:r>
      <w:hyperlink r:id="rId30">
        <w:r>
          <w:rPr>
            <w:color w:val="000000"/>
            <w:sz w:val="20"/>
          </w:rPr>
          <w:t>Graph reliability and recovery</w:t>
        </w:r>
      </w:hyperlink>
      <w:r>
        <w:rPr>
          <w:sz w:val="20"/>
        </w:rPr>
        <w:t xml:space="preserve"> and </w:t>
      </w:r>
      <w:hyperlink r:id="rId31">
        <w:r>
          <w:rPr>
            <w:color w:val="000000"/>
            <w:sz w:val="20"/>
          </w:rPr>
          <w:t>case audit export</w:t>
        </w:r>
      </w:hyperlink>
      <w:r>
        <w:rPr>
          <w:sz w:val="20"/>
        </w:rPr>
        <w:t>. Authoritative storage, graph coverage and recovery scope.</w:t>
      </w:r>
    </w:p>
    <w:p>
      <w:r>
        <w:rPr>
          <w:sz w:val="20"/>
        </w:rPr>
        <w:t xml:space="preserve">9. </w:t>
      </w:r>
      <w:hyperlink r:id="rId32">
        <w:r>
          <w:rPr>
            <w:color w:val="000000"/>
            <w:sz w:val="20"/>
          </w:rPr>
          <w:t>Reproduction and deployment</w:t>
        </w:r>
      </w:hyperlink>
      <w:r>
        <w:rPr>
          <w:sz w:val="20"/>
        </w:rPr>
        <w:t xml:space="preserve">, </w:t>
      </w:r>
      <w:hyperlink r:id="rId33">
        <w:r>
          <w:rPr>
            <w:color w:val="000000"/>
            <w:sz w:val="20"/>
          </w:rPr>
          <w:t>controlled v2 deployment</w:t>
        </w:r>
      </w:hyperlink>
      <w:r>
        <w:rPr>
          <w:sz w:val="20"/>
        </w:rPr>
        <w:t xml:space="preserve"> and </w:t>
      </w:r>
      <w:hyperlink r:id="rId34">
        <w:r>
          <w:rPr>
            <w:color w:val="000000"/>
            <w:sz w:val="20"/>
          </w:rPr>
          <w:t>progress log</w:t>
        </w:r>
      </w:hyperlink>
      <w:r>
        <w:rPr>
          <w:sz w:val="20"/>
        </w:rPr>
        <w:t>. Versioned deployment and historical verification records.</w:t>
      </w:r>
    </w:p>
    <w:p>
      <w:r>
        <w:rPr>
          <w:sz w:val="20"/>
        </w:rPr>
        <w:t xml:space="preserve">10. </w:t>
      </w:r>
      <w:hyperlink r:id="rId35">
        <w:r>
          <w:rPr>
            <w:color w:val="000000"/>
            <w:sz w:val="20"/>
          </w:rPr>
          <w:t>M2 temperature and MKT</w:t>
        </w:r>
      </w:hyperlink>
      <w:r>
        <w:rPr>
          <w:sz w:val="20"/>
        </w:rPr>
        <w:t>. Interval semantics, MKT and missingness contracts.</w:t>
      </w:r>
    </w:p>
    <w:p>
      <w:r>
        <w:rPr>
          <w:sz w:val="20"/>
        </w:rPr>
        <w:t xml:space="preserve">11. </w:t>
      </w:r>
      <w:hyperlink r:id="rId31">
        <w:r>
          <w:rPr>
            <w:color w:val="000000"/>
            <w:sz w:val="20"/>
          </w:rPr>
          <w:t>Case audit export</w:t>
        </w:r>
      </w:hyperlink>
      <w:r>
        <w:rPr>
          <w:sz w:val="20"/>
        </w:rPr>
        <w:t>. Snapshot and hash scope.</w:t>
      </w:r>
    </w:p>
    <w:p>
      <w:r>
        <w:rPr>
          <w:sz w:val="20"/>
        </w:rPr>
        <w:t xml:space="preserve">12. </w:t>
      </w:r>
      <w:hyperlink r:id="rId36">
        <w:r>
          <w:rPr>
            <w:color w:val="000000"/>
            <w:sz w:val="20"/>
          </w:rPr>
          <w:t>Simulated order generator</w:t>
        </w:r>
      </w:hyperlink>
      <w:r>
        <w:rPr>
          <w:sz w:val="20"/>
        </w:rPr>
        <w:t xml:space="preserve"> and </w:t>
      </w:r>
      <w:hyperlink r:id="rId37">
        <w:r>
          <w:rPr>
            <w:color w:val="000000"/>
            <w:sz w:val="20"/>
          </w:rPr>
          <w:t>urgent orders and parking</w:t>
        </w:r>
      </w:hyperlink>
      <w:r>
        <w:rPr>
          <w:sz w:val="20"/>
        </w:rPr>
        <w:t>. Simulated business-input and parking constraints.</w:t>
      </w:r>
    </w:p>
    <w:p>
      <w:r>
        <w:rPr>
          <w:sz w:val="20"/>
        </w:rPr>
        <w:t xml:space="preserve">13. </w:t>
      </w:r>
      <w:hyperlink r:id="rId38">
        <w:r>
          <w:rPr>
            <w:color w:val="000000"/>
            <w:sz w:val="20"/>
          </w:rPr>
          <w:t>End-to-end acceptance</w:t>
        </w:r>
      </w:hyperlink>
      <w:r>
        <w:rPr>
          <w:sz w:val="20"/>
        </w:rPr>
        <w:t xml:space="preserve"> and </w:t>
      </w:r>
      <w:hyperlink r:id="rId39">
        <w:r>
          <w:rPr>
            <w:color w:val="000000"/>
            <w:sz w:val="20"/>
          </w:rPr>
          <w:t>routing design</w:t>
        </w:r>
      </w:hyperlink>
      <w:r>
        <w:rPr>
          <w:sz w:val="20"/>
        </w:rPr>
        <w:t>. Dynamic workflow scope and acceptance protocol.</w:t>
      </w:r>
    </w:p>
    <w:p>
      <w:r>
        <w:rPr>
          <w:sz w:val="20"/>
        </w:rPr>
        <w:t>14. Matthias, D. M., Robertson, J., Garrison, M. M., Newland, S., &amp; Nelson, C. (2007). Freezing temperatures in the vaccine cold chain: A systematic literature review. Vaccine, 25, 3980–3986. https://doi.org/10.1016/j.vaccine.2007.02.052</w:t>
      </w:r>
    </w:p>
    <w:p>
      <w:r>
        <w:rPr>
          <w:sz w:val="20"/>
        </w:rPr>
        <w:t>15. Kartoglu, U., &amp; Milstien, J. (2014). Tools and approaches to ensure quality of vaccines throughout the cold chain. Expert Review of Vaccines, 13(7), 843–854. https://doi.org/10.1586/14760584.2014.923761</w:t>
      </w:r>
    </w:p>
    <w:p>
      <w:r>
        <w:rPr>
          <w:sz w:val="20"/>
        </w:rPr>
        <w:t>16. Lundberg, S. M., &amp; Lee, S.-I. (2017). A unified approach to interpreting model predictions. Advances in Neural Information Processing Systems 30. https://arxiv.org/abs/1705.07874</w:t>
      </w:r>
    </w:p>
    <w:p>
      <w:r>
        <w:rPr>
          <w:sz w:val="20"/>
        </w:rPr>
        <w:t>17. Hogan, A., Blomqvist, E., Cochez, M., d'Amato, C., de Melo, G., Gutierrez, C., Kirrane, S., Labra Gayo, J. E., Navigli, R., Neumaier, S., Ngonga Ngomo, A.-C., Polleres, A., Rashid, S. M., Rula, A., Schmelzeisen, L., Sequeda, J., Staab, S., &amp; Zimmermann, A. (2021). Knowledge graphs. ACM Computing Surveys, 54, 1–37. https://doi.org/10.1145/3447772</w:t>
      </w:r>
    </w:p>
    <w:p>
      <w:pPr>
        <w:pStyle w:val="Heading1"/>
      </w:pPr>
      <w:r>
        <w:t>Appendix A Mapping to modular course techniques</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Course area</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Applied knowledge and implemented functionality</w:t>
            </w:r>
          </w:p>
        </w:tc>
        <w:tc>
          <w:tcPr>
            <w:tcW w:type="dxa" w:w="33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spacing w:after="60"/>
            </w:pPr>
            <w:r>
              <w:rPr>
                <w:b/>
                <w:color w:val="FFFFFF"/>
                <w:sz w:val="20"/>
              </w:rPr>
              <w:t>Evaluation evidence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MR Machine Reasoning</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Knowledge/model representation, reasoning as search and inductive learning: explicit rule paths, constrained route construction and tabular risk/cause models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57 rule scenarios; search baselines; five-fold ML and held-out simulations</w:t>
            </w:r>
          </w:p>
        </w:tc>
      </w:tr>
      <w:tr>
        <w:trPr>
          <w:cantSplit/>
        </w:trPr>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RS Reasoning Systems</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Optimisation and evolutionary computation: VRPTW formulation, RoutingModel GLS and permutation-based GA; graph-based system integration</w:t>
            </w:r>
          </w:p>
        </w:tc>
        <w:tc>
          <w:tcPr>
            <w:tcW w:type="dxa" w:w="33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color w:val="000000"/>
                <w:sz w:val="20"/>
              </w:rPr>
              <w:t>Static 49-run routing comparison and separate dynamic execution acceptance</w:t>
            </w:r>
          </w:p>
        </w:tc>
      </w:tr>
      <w:tr>
        <w:trPr>
          <w:cantSplit/>
        </w:trPr>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CGS Cognitive Systems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Knowledge representation and reasoning with a case/rule/evidence graph and structured user questions; five template queries with explicit failure states</w:t>
            </w:r>
          </w:p>
        </w:tc>
        <w:tc>
          <w:tcPr>
            <w:tcW w:type="dxa" w:w="33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spacing w:after="60"/>
            </w:pPr>
            <w:r>
              <w:rPr>
                <w:b w:val="0"/>
                <w:color w:val="000000"/>
                <w:sz w:val="20"/>
              </w:rPr>
              <w:t>Derived contract checks; single-reviewer M6 pilot, dual review still pending; no audio or vision claim</w:t>
            </w:r>
          </w:p>
        </w:tc>
      </w:tr>
    </w:tbl>
    <w:p>
      <w:pPr>
        <w:spacing w:after="0"/>
      </w:pPr>
    </w:p>
    <w:p>
      <w:r>
        <w:rPr>
          <w:sz w:val="22"/>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Pr>
      <w:r>
        <w:t>Appendix B Installation and user guide</w:t>
      </w:r>
    </w:p>
    <w:p>
      <w:pPr>
        <w:pStyle w:val="Heading2"/>
      </w:pPr>
      <w:r>
        <w:t>B1 Fresh demonstration deployment</w:t>
      </w:r>
    </w:p>
    <w:p>
      <w:r>
        <w:rPr>
          <w:sz w:val="22"/>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spacing w:after="60"/>
      </w:pPr>
      <w:r>
        <w:rPr>
          <w:rFonts w:ascii="Courier New" w:hAnsi="Courier New"/>
          <w:sz w:val="18"/>
        </w:rPr>
        <w:t>.venv/bin/python scripts/configure_demo.py</w:t>
      </w:r>
    </w:p>
    <w:p>
      <w:pPr>
        <w:spacing w:after="60"/>
      </w:pPr>
      <w:r>
        <w:rPr>
          <w:rFonts w:ascii="Courier New" w:hAnsi="Courier New"/>
          <w:sz w:val="18"/>
        </w:rPr>
        <w:t>docker compose --env-file deploy/demo.env -f deploy/compose.demo.yml config --quiet</w:t>
      </w:r>
    </w:p>
    <w:p>
      <w:pPr>
        <w:spacing w:after="60"/>
      </w:pPr>
      <w:r>
        <w:rPr>
          <w:rFonts w:ascii="Courier New" w:hAnsi="Courier New"/>
          <w:sz w:val="18"/>
        </w:rPr>
        <w:t>docker compose --env-file deploy/demo.env -f deploy/compose.demo.yml up -d --build --wait --wait-timeout 180</w:t>
      </w:r>
    </w:p>
    <w:p>
      <w:r>
        <w:rPr>
          <w:sz w:val="22"/>
        </w:rPr>
        <w:t xml:space="preserve">Open http://127.0.0.1:8080/?lang=en and check /api/ready. This base deployment defaults to event-v2 disabled. For the existing v2 demonstration use both env files and both compose files from the </w:t>
      </w:r>
      <w:hyperlink r:id="rId33">
        <w:r>
          <w:rPr>
            <w:color w:val="000000"/>
            <w:sz w:val="22"/>
          </w:rPr>
          <w:t>controlled deployment guide</w:t>
        </w:r>
      </w:hyperlink>
      <w:r>
        <w:rPr>
          <w:sz w:val="22"/>
        </w:rPr>
        <w:t>; do not recreate that deployment using only the base configuration. Never add -v when stopping the application's persistent volumes.</w:t>
      </w:r>
    </w:p>
    <w:p>
      <w:pPr>
        <w:pStyle w:val="Heading2"/>
      </w:pPr>
      <w:r>
        <w:t>B2 Operator walkthrough</w:t>
      </w:r>
    </w:p>
    <w:p>
      <w:r>
        <w:rPr>
          <w:sz w:val="22"/>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r>
        <w:rPr>
          <w:sz w:val="22"/>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r>
        <w:rPr>
          <w:sz w:val="22"/>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r>
        <w:rPr>
          <w:sz w:val="22"/>
        </w:rPr>
        <w:t xml:space="preserve">The full </w:t>
      </w:r>
      <w:hyperlink r:id="rId40">
        <w:r>
          <w:rPr>
            <w:color w:val="000000"/>
            <w:sz w:val="22"/>
          </w:rPr>
          <w:t>English manual</w:t>
        </w:r>
      </w:hyperlink>
      <w:r>
        <w:rPr>
          <w:sz w:val="22"/>
        </w:rPr>
        <w:t xml:space="preserve"> and </w:t>
      </w:r>
      <w:hyperlink r:id="rId41">
        <w:r>
          <w:rPr>
            <w:color w:val="000000"/>
            <w:sz w:val="22"/>
          </w:rPr>
          <w:t>Chinese manual</w:t>
        </w:r>
      </w:hyperlink>
      <w:r>
        <w:rPr>
          <w:sz w:val="22"/>
        </w:rPr>
        <w:t xml:space="preserve"> provide panel-level instructions, troubleshooting and the separate M6 review process. This appendix summarises installation and operation.</w:t>
      </w:r>
    </w:p>
    <w:p>
      <w:pPr>
        <w:pStyle w:val="Heading1"/>
      </w:pPr>
      <w:r>
        <w:t>Appendix C Submitted project proposal</w:t>
      </w:r>
    </w:p>
    <w:p>
      <w:r>
        <w:rPr>
          <w:sz w:val="22"/>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r>
        <w:rPr>
          <w:sz w:val="22"/>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Group 41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Unicode M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Frostash030612/PharmaColdOps/blob/main/docs/%E9%98%88%E5%80%BC%E8%AF%81%E6%8D%AE%E8%A1%A8_v1.md" TargetMode="External"/><Relationship Id="rId15" Type="http://schemas.openxmlformats.org/officeDocument/2006/relationships/hyperlink" Target="https://github.com/Frostash030612/PharmaColdOps/blob/main/data/ml/DATA_DICTIONARY.md" TargetMode="External"/><Relationship Id="rId16" Type="http://schemas.openxmlformats.org/officeDocument/2006/relationships/hyperlink" Target="https://www.who.int/publications/m/item/trs961-annex9-modelguidanceforstoragetransport" TargetMode="External"/><Relationship Id="rId17" Type="http://schemas.openxmlformats.org/officeDocument/2006/relationships/hyperlink" Target="https://eur-lex.europa.eu/legal-content/EN/TXT/?uri=CELEX:52013XC1123%2801%29" TargetMode="External"/><Relationship Id="rId18" Type="http://schemas.openxmlformats.org/officeDocument/2006/relationships/hyperlink" Target="https://github.com/Frostash030612/PharmaColdOps/blob/main/docs/M3%E6%AD%A3%E5%BC%8F%E8%AF%84%E4%BC%B0.md" TargetMode="External"/><Relationship Id="rId19" Type="http://schemas.openxmlformats.org/officeDocument/2006/relationships/hyperlink" Target="https://github.com/Frostash030612/PharmaColdOps/blob/main/docs/%E4%BA%BA%E5%B7%A5%E5%AE%A1%E6%A0%B8%E4%B8%8E%E6%9C%89%E6%95%88%E5%A4%84%E7%BD%AE.md" TargetMode="External"/><Relationship Id="rId20" Type="http://schemas.openxmlformats.org/officeDocument/2006/relationships/hyperlink" Target="https://github.com/Frostash030612/PharmaColdOps/blob/main/docs/M4%E6%AD%A3%E5%BC%8F%E5%AE%9E%E9%AA%8C.md" TargetMode="External"/><Relationship Id="rId21" Type="http://schemas.openxmlformats.org/officeDocument/2006/relationships/hyperlink" Target="https://github.com/Frostash030612/PharmaColdOps/blob/main/docs/%E5%8E%9F%E5%9B%A0%E6%95%B0%E6%8D%AE%E5%8F%AF%E5%AD%A6%E6%80%A7%E5%AE%A1%E8%AE%A1.md" TargetMode="External"/><Relationship Id="rId22" Type="http://schemas.openxmlformats.org/officeDocument/2006/relationships/hyperlink" Target="https://github.com/Frostash030612/PharmaColdOps/blob/main/docs/%E4%BA%8B%E4%BB%B6%E6%97%B6%E5%BA%8F%E6%A8%A1%E5%9E%8Bv2%E8%AF%84%E4%BC%B0.md" TargetMode="External"/><Relationship Id="rId23" Type="http://schemas.openxmlformats.org/officeDocument/2006/relationships/hyperlink" Target="https://github.com/Frostash030612/PharmaColdOps/blob/main/docs/v2%E5%8F%AA%E8%AF%BBshadow%E6%8E%A5%E5%8F%A3%E4%B8%8E%E6%BC%94%E7%A4%BA%E5%85%A5%E5%8F%A3.md" TargetMode="External"/><Relationship Id="rId24" Type="http://schemas.openxmlformats.org/officeDocument/2006/relationships/hyperlink" Target="https://github.com/Frostash030612/PharmaColdOps/blob/main/docs/M5%E6%AD%A3%E5%BC%8F%E8%AF%84%E4%BC%B0.md" TargetMode="External"/><Relationship Id="rId25" Type="http://schemas.openxmlformats.org/officeDocument/2006/relationships/hyperlink" Target="https://doi.org/10.1287/opre.35.2.254" TargetMode="External"/><Relationship Id="rId26" Type="http://schemas.openxmlformats.org/officeDocument/2006/relationships/hyperlink" Target="https://www.sintef.no/projectweb/top/vrptw/100-customers/" TargetMode="External"/><Relationship Id="rId27" Type="http://schemas.openxmlformats.org/officeDocument/2006/relationships/hyperlink" Target="https://github.com/Frostash030612/PharmaColdOps/blob/main/docs/M6%E7%8B%AC%E7%AB%8B%E8%AF%84%E4%BC%B0.md" TargetMode="External"/><Relationship Id="rId28" Type="http://schemas.openxmlformats.org/officeDocument/2006/relationships/hyperlink" Target="https://github.com/Frostash030612/PharmaColdOps/blob/main/data/qa/m6-completed-20261016-intent-A.csv" TargetMode="External"/><Relationship Id="rId29" Type="http://schemas.openxmlformats.org/officeDocument/2006/relationships/hyperlink" Target="https://github.com/Frostash030612/PharmaColdOps/blob/main/data/qa/m6-completed-20261016-ratings-A.csv" TargetMode="External"/><Relationship Id="rId30" Type="http://schemas.openxmlformats.org/officeDocument/2006/relationships/hyperlink" Target="https://github.com/Frostash030612/PharmaColdOps/blob/main/docs/%E7%9F%A5%E8%AF%86%E5%9B%BE%E8%B0%B1%E5%8F%AF%E9%9D%A0%E6%80%A7%E4%B8%8E%E6%81%A2%E5%A4%8D.md" TargetMode="External"/><Relationship Id="rId31" Type="http://schemas.openxmlformats.org/officeDocument/2006/relationships/hyperlink" Target="https://github.com/Frostash030612/PharmaColdOps/blob/main/docs/%E6%A1%88%E4%BE%8B%E5%AE%A1%E8%AE%A1%E6%8A%A5%E5%91%8A%E5%AF%BC%E5%87%BA.md" TargetMode="External"/><Relationship Id="rId32" Type="http://schemas.openxmlformats.org/officeDocument/2006/relationships/hyperlink" Target="https://github.com/Frostash030612/PharmaColdOps/blob/main/docs/%E5%A4%8D%E7%8E%B0%E4%B8%8E%E6%9C%AC%E6%9C%BA%E9%83%A8%E7%BD%B2.md" TargetMode="External"/><Relationship Id="rId33" Type="http://schemas.openxmlformats.org/officeDocument/2006/relationships/hyperlink" Target="https://github.com/Frostash030612/PharmaColdOps/blob/main/docs/v2%E6%BC%94%E7%A4%BA%E5%8F%97%E6%8E%A7%E6%9B%B4%E6%96%B0.md" TargetMode="External"/><Relationship Id="rId34" Type="http://schemas.openxmlformats.org/officeDocument/2006/relationships/hyperlink" Target="https://github.com/Frostash030612/PharmaColdOps/blob/main/PROGRESS.md" TargetMode="External"/><Relationship Id="rId35" Type="http://schemas.openxmlformats.org/officeDocument/2006/relationships/hyperlink" Target="https://github.com/Frostash030612/PharmaColdOps/blob/main/docs/M2%E6%B8%A9%E5%BA%A6%E5%BA%8F%E5%88%97%E4%B8%8EMKT.md" TargetMode="External"/><Relationship Id="rId36" Type="http://schemas.openxmlformats.org/officeDocument/2006/relationships/hyperlink" Target="https://github.com/Frostash030612/PharmaColdOps/blob/main/docs/%E6%A8%A1%E6%8B%9F%E8%AE%A2%E5%8D%95%E7%94%9F%E6%88%90%E5%99%A8.md" TargetMode="External"/><Relationship Id="rId37" Type="http://schemas.openxmlformats.org/officeDocument/2006/relationships/hyperlink" Target="https://github.com/Frostash030612/PharmaColdOps/blob/main/docs/%E7%8B%AC%E7%AB%8B%E5%8A%A0%E6%80%A5%E4%B8%8E%E4%BB%93%E5%BA%93%E5%81%9C%E8%BD%A6%E8%A7%84%E5%88%99.md" TargetMode="External"/><Relationship Id="rId38" Type="http://schemas.openxmlformats.org/officeDocument/2006/relationships/hyperlink" Target="https://github.com/Frostash030612/PharmaColdOps/blob/main/docs/%E5%AE%8C%E6%95%B4%E6%BC%94%E7%A4%BA%E4%B8%8E%E7%AB%AF%E5%88%B0%E7%AB%AF%E9%AA%8C%E6%94%B6.md" TargetMode="External"/><Relationship Id="rId39" Type="http://schemas.openxmlformats.org/officeDocument/2006/relationships/hyperlink" Target="https://github.com/Frostash030612/PharmaColdOps/blob/main/docs/%E8%B7%AF%E5%BE%84%E8%A7%84%E5%88%92%E6%80%BB%E9%80%BB%E8%BE%91%E6%96%B9%E6%A1%88.md" TargetMode="External"/><Relationship Id="rId40" Type="http://schemas.openxmlformats.org/officeDocument/2006/relationships/hyperlink" Target="https://github.com/Frostash030612/PharmaColdOps/blob/main/docs/user-manual-EN.md" TargetMode="External"/><Relationship Id="rId41"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system implementation and evaluation</dc:subject>
  <dc:creator>Project Group 41</dc:creator>
  <cp:keywords/>
  <dc:description>generated by python-docx</dc:description>
  <cp:lastModifiedBy/>
  <cp:revision>1</cp:revision>
  <dcterms:created xsi:type="dcterms:W3CDTF">2013-12-23T23:15:00Z</dcterms:created>
  <dcterms:modified xsi:type="dcterms:W3CDTF">2013-12-23T23:15:00Z</dcterms:modified>
  <cp:category/>
</cp:coreProperties>
</file>