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32570">
      <w:pPr>
        <w:keepNext/>
        <w:spacing w:before="120" w:after="160" w:line="288" w:lineRule="auto"/>
      </w:pPr>
      <w:r>
        <w:rPr>
          <w:rFonts w:ascii="微软雅黑" w:hAnsi="微软雅黑" w:eastAsia="微软雅黑"/>
          <w:color w:val="1A2B3C"/>
          <w:sz w:val="32"/>
          <w:szCs w:val="32"/>
        </w:rPr>
        <w:t>PharmaColdOps 提案演讲稿（10 分钟 · 四人版）</w:t>
      </w:r>
    </w:p>
    <w:p w14:paraId="4EF1FBB1">
      <w:pPr>
        <w:spacing w:before="0" w:after="40" w:line="276" w:lineRule="auto"/>
      </w:pPr>
      <w:r>
        <w:rPr>
          <w:rFonts w:ascii="微软雅黑" w:hAnsi="微软雅黑" w:eastAsia="微软雅黑"/>
          <w:b/>
          <w:bCs/>
          <w:color w:val="1A2B3C"/>
          <w:sz w:val="21"/>
          <w:szCs w:val="21"/>
        </w:rPr>
        <w:t>项目</w:t>
      </w:r>
      <w:r>
        <w:rPr>
          <w:rFonts w:ascii="微软雅黑" w:hAnsi="微软雅黑" w:eastAsia="微软雅黑"/>
          <w:color w:val="1A2B3C"/>
          <w:sz w:val="21"/>
          <w:szCs w:val="21"/>
        </w:rPr>
        <w:t>：PharmaColdOps — 冷链药品温度偏移处置与配送改派决策支持原型</w:t>
      </w:r>
    </w:p>
    <w:p w14:paraId="1DEC4FF5">
      <w:pPr>
        <w:spacing w:before="0" w:after="40" w:line="276" w:lineRule="auto"/>
      </w:pPr>
      <w:r>
        <w:rPr>
          <w:rFonts w:ascii="微软雅黑" w:hAnsi="微软雅黑" w:eastAsia="微软雅黑"/>
          <w:b/>
          <w:bCs/>
          <w:color w:val="1A2B3C"/>
          <w:sz w:val="21"/>
          <w:szCs w:val="21"/>
        </w:rPr>
        <w:t>组</w:t>
      </w:r>
      <w:r>
        <w:rPr>
          <w:rFonts w:ascii="Arial" w:hAnsi="Arial" w:eastAsia="微软雅黑"/>
          <w:color w:val="1A2B3C"/>
          <w:sz w:val="21"/>
          <w:szCs w:val="21"/>
        </w:rPr>
        <w:t>：Project Group 41　</w:t>
      </w:r>
      <w:r>
        <w:rPr>
          <w:rFonts w:ascii="微软雅黑" w:hAnsi="微软雅黑" w:eastAsia="微软雅黑"/>
          <w:b/>
          <w:bCs/>
          <w:color w:val="1A2B3C"/>
          <w:sz w:val="21"/>
          <w:szCs w:val="21"/>
        </w:rPr>
        <w:t>课程</w:t>
      </w:r>
      <w:r>
        <w:rPr>
          <w:rFonts w:ascii="Arial" w:hAnsi="Arial" w:eastAsia="微软雅黑"/>
          <w:color w:val="1A2B3C"/>
          <w:sz w:val="21"/>
          <w:szCs w:val="21"/>
        </w:rPr>
        <w:t>：IRS Practice Module（NUS-ISS）</w:t>
      </w:r>
    </w:p>
    <w:p w14:paraId="6DF5E0E2">
      <w:pPr>
        <w:spacing w:before="0" w:after="40" w:line="276" w:lineRule="auto"/>
      </w:pPr>
      <w:r>
        <w:rPr>
          <w:rFonts w:ascii="微软雅黑" w:hAnsi="微软雅黑" w:eastAsia="微软雅黑"/>
          <w:b/>
          <w:bCs/>
          <w:color w:val="1A2B3C"/>
          <w:sz w:val="21"/>
          <w:szCs w:val="21"/>
        </w:rPr>
        <w:t>对应 PPT</w:t>
      </w:r>
      <w:r>
        <w:rPr>
          <w:rFonts w:ascii="Arial" w:hAnsi="Arial" w:eastAsia="微软雅黑"/>
          <w:color w:val="1A2B3C"/>
          <w:sz w:val="21"/>
          <w:szCs w:val="21"/>
        </w:rPr>
        <w:t>：</w:t>
      </w:r>
      <w:r>
        <w:rPr>
          <w:rFonts w:ascii="Consolas" w:hAnsi="Consolas" w:eastAsia="Consolas"/>
          <w:color w:val="334155"/>
          <w:sz w:val="19"/>
          <w:szCs w:val="19"/>
        </w:rPr>
        <w:t>proposal/PharmaColdOps .pptx</w:t>
      </w:r>
      <w:r>
        <w:rPr>
          <w:rFonts w:ascii="微软雅黑" w:hAnsi="微软雅黑" w:eastAsia="微软雅黑"/>
          <w:color w:val="1A2B3C"/>
          <w:sz w:val="21"/>
          <w:szCs w:val="21"/>
        </w:rPr>
        <w:t xml:space="preserve">（10 页，以这份现场版为准；封面日期为 </w:t>
      </w:r>
      <w:r>
        <w:rPr>
          <w:rFonts w:ascii="Arial" w:hAnsi="Arial" w:eastAsia="微软雅黑"/>
          <w:b/>
          <w:bCs/>
          <w:color w:val="1A2B3C"/>
          <w:sz w:val="21"/>
          <w:szCs w:val="21"/>
        </w:rPr>
        <w:t>29 Sep 2026</w:t>
      </w:r>
      <w:r>
        <w:rPr>
          <w:rFonts w:ascii="微软雅黑" w:hAnsi="微软雅黑" w:eastAsia="微软雅黑"/>
          <w:color w:val="1A2B3C"/>
          <w:sz w:val="21"/>
          <w:szCs w:val="21"/>
        </w:rPr>
        <w:t>，日期无需口播）</w:t>
      </w:r>
    </w:p>
    <w:p w14:paraId="16546CEF">
      <w:pPr>
        <w:keepNext/>
        <w:spacing w:before="180" w:after="100" w:line="288" w:lineRule="auto"/>
      </w:pPr>
      <w:r>
        <w:rPr>
          <w:rFonts w:ascii="微软雅黑" w:hAnsi="微软雅黑" w:eastAsia="微软雅黑"/>
          <w:b/>
          <w:bCs/>
          <w:color w:val="0D9488"/>
          <w:sz w:val="25"/>
          <w:szCs w:val="25"/>
        </w:rPr>
        <w:t>时间分配（严格 10 分钟）</w:t>
      </w:r>
    </w:p>
    <w:tbl>
      <w:tblPr>
        <w:tblStyle w:val="2"/>
        <w:tblW w:w="5000" w:type="pct"/>
        <w:tblInd w:w="0" w:type="dxa"/>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Layout w:type="autofit"/>
        <w:tblCellMar>
          <w:top w:w="0" w:type="dxa"/>
          <w:left w:w="10" w:type="dxa"/>
          <w:bottom w:w="0" w:type="dxa"/>
          <w:right w:w="10" w:type="dxa"/>
        </w:tblCellMar>
      </w:tblPr>
      <w:tblGrid>
        <w:gridCol w:w="2414"/>
        <w:gridCol w:w="2414"/>
        <w:gridCol w:w="2415"/>
        <w:gridCol w:w="2415"/>
      </w:tblGrid>
      <w:tr w14:paraId="6A09A9BA">
        <w:trPr>
          <w:tblHeader/>
        </w:trPr>
        <w:tc>
          <w:tcPr>
            <w:tcW w:w="1250" w:type="pct"/>
            <w:shd w:val="clear" w:color="auto" w:fill="F1F5F9"/>
          </w:tcPr>
          <w:p w14:paraId="7582F035">
            <w:pPr>
              <w:spacing w:before="20" w:after="20" w:line="252" w:lineRule="auto"/>
            </w:pPr>
            <w:r>
              <w:rPr>
                <w:rFonts w:ascii="微软雅黑" w:hAnsi="微软雅黑" w:eastAsia="微软雅黑"/>
                <w:b/>
                <w:bCs/>
                <w:color w:val="1A2B3C"/>
                <w:sz w:val="19"/>
                <w:szCs w:val="19"/>
              </w:rPr>
              <w:t>讲者</w:t>
            </w:r>
          </w:p>
        </w:tc>
        <w:tc>
          <w:tcPr>
            <w:tcW w:w="1250" w:type="pct"/>
            <w:shd w:val="clear" w:color="auto" w:fill="F1F5F9"/>
          </w:tcPr>
          <w:p w14:paraId="1B1F28EB">
            <w:pPr>
              <w:spacing w:before="20" w:after="20" w:line="252" w:lineRule="auto"/>
            </w:pPr>
            <w:r>
              <w:rPr>
                <w:rFonts w:ascii="微软雅黑" w:hAnsi="微软雅黑" w:eastAsia="微软雅黑"/>
                <w:b/>
                <w:bCs/>
                <w:color w:val="1A2B3C"/>
                <w:sz w:val="19"/>
                <w:szCs w:val="19"/>
              </w:rPr>
              <w:t>页码</w:t>
            </w:r>
          </w:p>
        </w:tc>
        <w:tc>
          <w:tcPr>
            <w:tcW w:w="1250" w:type="pct"/>
            <w:shd w:val="clear" w:color="auto" w:fill="F1F5F9"/>
          </w:tcPr>
          <w:p w14:paraId="6E903F17">
            <w:pPr>
              <w:spacing w:before="20" w:after="20" w:line="252" w:lineRule="auto"/>
            </w:pPr>
            <w:r>
              <w:rPr>
                <w:rFonts w:ascii="微软雅黑" w:hAnsi="微软雅黑" w:eastAsia="微软雅黑"/>
                <w:b/>
                <w:bCs/>
                <w:color w:val="1A2B3C"/>
                <w:sz w:val="19"/>
                <w:szCs w:val="19"/>
              </w:rPr>
              <w:t>内容</w:t>
            </w:r>
          </w:p>
        </w:tc>
        <w:tc>
          <w:tcPr>
            <w:tcW w:w="1250" w:type="pct"/>
            <w:shd w:val="clear" w:color="auto" w:fill="F1F5F9"/>
          </w:tcPr>
          <w:p w14:paraId="76DDA712">
            <w:pPr>
              <w:spacing w:before="20" w:after="20" w:line="252" w:lineRule="auto"/>
            </w:pPr>
            <w:r>
              <w:rPr>
                <w:rFonts w:ascii="微软雅黑" w:hAnsi="微软雅黑" w:eastAsia="微软雅黑"/>
                <w:b/>
                <w:bCs/>
                <w:color w:val="1A2B3C"/>
                <w:sz w:val="19"/>
                <w:szCs w:val="19"/>
              </w:rPr>
              <w:t>时长</w:t>
            </w:r>
          </w:p>
        </w:tc>
      </w:tr>
      <w:tr w14:paraId="29B7DCC5">
        <w:tc>
          <w:tcPr>
            <w:tcW w:w="1250" w:type="pct"/>
          </w:tcPr>
          <w:p w14:paraId="492FD49A">
            <w:pPr>
              <w:spacing w:before="20" w:after="20" w:line="252" w:lineRule="auto"/>
            </w:pPr>
            <w:r>
              <w:rPr>
                <w:rFonts w:ascii="Arial" w:hAnsi="Arial" w:eastAsia="微软雅黑"/>
                <w:color w:val="1A2B3C"/>
                <w:sz w:val="19"/>
                <w:szCs w:val="19"/>
              </w:rPr>
              <w:t>A · Xu Wenzhe</w:t>
            </w:r>
          </w:p>
        </w:tc>
        <w:tc>
          <w:tcPr>
            <w:tcW w:w="1250" w:type="pct"/>
          </w:tcPr>
          <w:p w14:paraId="0A750F3F">
            <w:pPr>
              <w:spacing w:before="20" w:after="20" w:line="252" w:lineRule="auto"/>
            </w:pPr>
            <w:r>
              <w:rPr>
                <w:rFonts w:ascii="Arial" w:hAnsi="Arial" w:eastAsia="微软雅黑"/>
                <w:color w:val="1A2B3C"/>
                <w:sz w:val="19"/>
                <w:szCs w:val="19"/>
              </w:rPr>
              <w:t>1–3</w:t>
            </w:r>
          </w:p>
        </w:tc>
        <w:tc>
          <w:tcPr>
            <w:tcW w:w="1250" w:type="pct"/>
          </w:tcPr>
          <w:p w14:paraId="2DB1D169">
            <w:pPr>
              <w:spacing w:before="20" w:after="20" w:line="252" w:lineRule="auto"/>
            </w:pPr>
            <w:r>
              <w:rPr>
                <w:rFonts w:ascii="微软雅黑" w:hAnsi="微软雅黑" w:eastAsia="微软雅黑"/>
                <w:color w:val="1A2B3C"/>
                <w:sz w:val="19"/>
                <w:szCs w:val="19"/>
              </w:rPr>
              <w:t>封面 · 问题 · 现有工具的缺口</w:t>
            </w:r>
          </w:p>
        </w:tc>
        <w:tc>
          <w:tcPr>
            <w:tcW w:w="1250" w:type="pct"/>
          </w:tcPr>
          <w:p w14:paraId="457BEE15">
            <w:pPr>
              <w:spacing w:before="20" w:after="20" w:line="252" w:lineRule="auto"/>
            </w:pPr>
            <w:r>
              <w:rPr>
                <w:rFonts w:ascii="Arial" w:hAnsi="Arial" w:eastAsia="微软雅黑"/>
                <w:b/>
                <w:bCs/>
                <w:color w:val="1A2B3C"/>
                <w:sz w:val="19"/>
                <w:szCs w:val="19"/>
              </w:rPr>
              <w:t>1:35</w:t>
            </w:r>
          </w:p>
        </w:tc>
      </w:tr>
      <w:tr w14:paraId="4C18A6B5">
        <w:tc>
          <w:tcPr>
            <w:tcW w:w="1250" w:type="pct"/>
          </w:tcPr>
          <w:p w14:paraId="22019C92">
            <w:pPr>
              <w:spacing w:before="20" w:after="20" w:line="252" w:lineRule="auto"/>
            </w:pPr>
            <w:r>
              <w:rPr>
                <w:rFonts w:ascii="Arial" w:hAnsi="Arial" w:eastAsia="微软雅黑"/>
                <w:color w:val="1A2B3C"/>
                <w:sz w:val="19"/>
                <w:szCs w:val="19"/>
              </w:rPr>
              <w:t>B · Zhu Jianyu</w:t>
            </w:r>
          </w:p>
        </w:tc>
        <w:tc>
          <w:tcPr>
            <w:tcW w:w="1250" w:type="pct"/>
          </w:tcPr>
          <w:p w14:paraId="5ABB8142">
            <w:pPr>
              <w:spacing w:before="20" w:after="20" w:line="252" w:lineRule="auto"/>
            </w:pPr>
            <w:r>
              <w:rPr>
                <w:rFonts w:ascii="Arial" w:hAnsi="Arial" w:eastAsia="微软雅黑"/>
                <w:color w:val="1A2B3C"/>
                <w:sz w:val="19"/>
                <w:szCs w:val="19"/>
              </w:rPr>
              <w:t>4–5</w:t>
            </w:r>
          </w:p>
        </w:tc>
        <w:tc>
          <w:tcPr>
            <w:tcW w:w="1250" w:type="pct"/>
          </w:tcPr>
          <w:p w14:paraId="6332020F">
            <w:pPr>
              <w:spacing w:before="20" w:after="20" w:line="252" w:lineRule="auto"/>
            </w:pPr>
            <w:r>
              <w:rPr>
                <w:rFonts w:ascii="微软雅黑" w:hAnsi="微软雅黑" w:eastAsia="微软雅黑"/>
                <w:color w:val="1A2B3C"/>
                <w:sz w:val="19"/>
                <w:szCs w:val="19"/>
              </w:rPr>
              <w:t>方案 · 市场定位与技术借鉴</w:t>
            </w:r>
          </w:p>
        </w:tc>
        <w:tc>
          <w:tcPr>
            <w:tcW w:w="1250" w:type="pct"/>
          </w:tcPr>
          <w:p w14:paraId="1BE686CD">
            <w:pPr>
              <w:spacing w:before="20" w:after="20" w:line="252" w:lineRule="auto"/>
            </w:pPr>
            <w:r>
              <w:rPr>
                <w:rFonts w:ascii="Arial" w:hAnsi="Arial" w:eastAsia="微软雅黑"/>
                <w:b/>
                <w:bCs/>
                <w:color w:val="1A2B3C"/>
                <w:sz w:val="19"/>
                <w:szCs w:val="19"/>
              </w:rPr>
              <w:t>1:50</w:t>
            </w:r>
          </w:p>
        </w:tc>
      </w:tr>
      <w:tr w14:paraId="2FA8D087">
        <w:tc>
          <w:tcPr>
            <w:tcW w:w="1250" w:type="pct"/>
          </w:tcPr>
          <w:p w14:paraId="22DD0EAA">
            <w:pPr>
              <w:spacing w:before="20" w:after="20" w:line="252" w:lineRule="auto"/>
            </w:pPr>
            <w:r>
              <w:rPr>
                <w:rFonts w:ascii="Arial" w:hAnsi="Arial" w:eastAsia="微软雅黑"/>
                <w:color w:val="1A2B3C"/>
                <w:sz w:val="19"/>
                <w:szCs w:val="19"/>
              </w:rPr>
              <w:t>C · Wang Lepeng</w:t>
            </w:r>
          </w:p>
        </w:tc>
        <w:tc>
          <w:tcPr>
            <w:tcW w:w="1250" w:type="pct"/>
          </w:tcPr>
          <w:p w14:paraId="6F45BA4A">
            <w:pPr>
              <w:spacing w:before="20" w:after="20" w:line="252" w:lineRule="auto"/>
            </w:pPr>
            <w:r>
              <w:rPr>
                <w:rFonts w:ascii="Arial" w:hAnsi="Arial" w:eastAsia="微软雅黑"/>
                <w:color w:val="1A2B3C"/>
                <w:sz w:val="19"/>
                <w:szCs w:val="19"/>
              </w:rPr>
              <w:t>6–7</w:t>
            </w:r>
          </w:p>
        </w:tc>
        <w:tc>
          <w:tcPr>
            <w:tcW w:w="1250" w:type="pct"/>
          </w:tcPr>
          <w:p w14:paraId="37D042B7">
            <w:pPr>
              <w:spacing w:before="20" w:after="20" w:line="252" w:lineRule="auto"/>
            </w:pPr>
            <w:r>
              <w:rPr>
                <w:rFonts w:ascii="微软雅黑" w:hAnsi="微软雅黑" w:eastAsia="微软雅黑"/>
                <w:color w:val="1A2B3C"/>
                <w:sz w:val="19"/>
                <w:szCs w:val="19"/>
              </w:rPr>
              <w:t>数据来源 · 已跑通的实现</w:t>
            </w:r>
          </w:p>
        </w:tc>
        <w:tc>
          <w:tcPr>
            <w:tcW w:w="1250" w:type="pct"/>
          </w:tcPr>
          <w:p w14:paraId="47AC6462">
            <w:pPr>
              <w:spacing w:before="20" w:after="20" w:line="252" w:lineRule="auto"/>
            </w:pPr>
            <w:r>
              <w:rPr>
                <w:rFonts w:ascii="Arial" w:hAnsi="Arial" w:eastAsia="微软雅黑"/>
                <w:b/>
                <w:bCs/>
                <w:color w:val="1A2B3C"/>
                <w:sz w:val="19"/>
                <w:szCs w:val="19"/>
              </w:rPr>
              <w:t>2:05</w:t>
            </w:r>
          </w:p>
        </w:tc>
      </w:tr>
      <w:tr w14:paraId="123650CB">
        <w:tc>
          <w:tcPr>
            <w:tcW w:w="1250" w:type="pct"/>
          </w:tcPr>
          <w:p w14:paraId="76555290">
            <w:pPr>
              <w:spacing w:before="20" w:after="20" w:line="252" w:lineRule="auto"/>
            </w:pPr>
            <w:r>
              <w:rPr>
                <w:rFonts w:ascii="Arial" w:hAnsi="Arial" w:eastAsia="微软雅黑"/>
                <w:color w:val="1A2B3C"/>
                <w:sz w:val="19"/>
                <w:szCs w:val="19"/>
              </w:rPr>
              <w:t>D · Shen Ziyi</w:t>
            </w:r>
          </w:p>
        </w:tc>
        <w:tc>
          <w:tcPr>
            <w:tcW w:w="1250" w:type="pct"/>
          </w:tcPr>
          <w:p w14:paraId="2AD55A82">
            <w:pPr>
              <w:spacing w:before="20" w:after="20" w:line="252" w:lineRule="auto"/>
            </w:pPr>
            <w:r>
              <w:rPr>
                <w:rFonts w:ascii="Arial" w:hAnsi="Arial" w:eastAsia="微软雅黑"/>
                <w:color w:val="1A2B3C"/>
                <w:sz w:val="19"/>
                <w:szCs w:val="19"/>
              </w:rPr>
              <w:t>8–10</w:t>
            </w:r>
          </w:p>
        </w:tc>
        <w:tc>
          <w:tcPr>
            <w:tcW w:w="1250" w:type="pct"/>
          </w:tcPr>
          <w:p w14:paraId="20FDB7AF">
            <w:pPr>
              <w:spacing w:before="20" w:after="20" w:line="252" w:lineRule="auto"/>
            </w:pPr>
            <w:r>
              <w:rPr>
                <w:rFonts w:ascii="微软雅黑" w:hAnsi="微软雅黑" w:eastAsia="微软雅黑"/>
                <w:color w:val="1A2B3C"/>
                <w:sz w:val="19"/>
                <w:szCs w:val="19"/>
              </w:rPr>
              <w:t>量化结果 · 局限与分工 · 结论</w:t>
            </w:r>
          </w:p>
        </w:tc>
        <w:tc>
          <w:tcPr>
            <w:tcW w:w="1250" w:type="pct"/>
          </w:tcPr>
          <w:p w14:paraId="1CC0CDC1">
            <w:pPr>
              <w:spacing w:before="20" w:after="20" w:line="252" w:lineRule="auto"/>
            </w:pPr>
            <w:r>
              <w:rPr>
                <w:rFonts w:ascii="Arial" w:hAnsi="Arial" w:eastAsia="微软雅黑"/>
                <w:b/>
                <w:bCs/>
                <w:color w:val="1A2B3C"/>
                <w:sz w:val="19"/>
                <w:szCs w:val="19"/>
              </w:rPr>
              <w:t>2:25</w:t>
            </w:r>
          </w:p>
        </w:tc>
      </w:tr>
      <w:tr w14:paraId="0509D25A">
        <w:tc>
          <w:tcPr>
            <w:tcW w:w="1250" w:type="pct"/>
          </w:tcPr>
          <w:p w14:paraId="0168B350">
            <w:pPr>
              <w:spacing w:before="20" w:after="20" w:line="252" w:lineRule="auto"/>
            </w:pPr>
            <w:r>
              <w:rPr>
                <w:rFonts w:ascii="Arial" w:hAnsi="Arial" w:eastAsia="微软雅黑"/>
                <w:color w:val="1A2B3C"/>
                <w:sz w:val="19"/>
                <w:szCs w:val="19"/>
              </w:rPr>
              <w:t>—</w:t>
            </w:r>
          </w:p>
        </w:tc>
        <w:tc>
          <w:tcPr>
            <w:tcW w:w="1250" w:type="pct"/>
          </w:tcPr>
          <w:p w14:paraId="0C3690D4">
            <w:pPr>
              <w:spacing w:before="20" w:after="20" w:line="252" w:lineRule="auto"/>
            </w:pPr>
            <w:r>
              <w:rPr>
                <w:rFonts w:ascii="Arial" w:hAnsi="Arial" w:eastAsia="微软雅黑"/>
                <w:color w:val="1A2B3C"/>
                <w:sz w:val="19"/>
                <w:szCs w:val="19"/>
              </w:rPr>
              <w:t>—</w:t>
            </w:r>
          </w:p>
        </w:tc>
        <w:tc>
          <w:tcPr>
            <w:tcW w:w="1250" w:type="pct"/>
          </w:tcPr>
          <w:p w14:paraId="266F0B7E">
            <w:pPr>
              <w:spacing w:before="20" w:after="20" w:line="252" w:lineRule="auto"/>
            </w:pPr>
            <w:r>
              <w:rPr>
                <w:rFonts w:ascii="微软雅黑" w:hAnsi="微软雅黑" w:eastAsia="微软雅黑"/>
                <w:color w:val="1A2B3C"/>
                <w:sz w:val="19"/>
                <w:szCs w:val="19"/>
              </w:rPr>
              <w:t>合计</w:t>
            </w:r>
          </w:p>
        </w:tc>
        <w:tc>
          <w:tcPr>
            <w:tcW w:w="1250" w:type="pct"/>
          </w:tcPr>
          <w:p w14:paraId="3DCB021A">
            <w:pPr>
              <w:spacing w:before="20" w:after="20" w:line="252" w:lineRule="auto"/>
            </w:pPr>
            <w:r>
              <w:rPr>
                <w:rFonts w:ascii="Arial" w:hAnsi="Arial" w:eastAsia="微软雅黑"/>
                <w:b/>
                <w:bCs/>
                <w:color w:val="1A2B3C"/>
                <w:sz w:val="19"/>
                <w:szCs w:val="19"/>
              </w:rPr>
              <w:t>7:55</w:t>
            </w:r>
            <w:r>
              <w:rPr>
                <w:rFonts w:ascii="微软雅黑" w:hAnsi="微软雅黑" w:eastAsia="微软雅黑"/>
                <w:color w:val="1A2B3C"/>
                <w:sz w:val="19"/>
                <w:szCs w:val="19"/>
              </w:rPr>
              <w:t>（留约 2 分钟给切页、停顿和现场节奏）</w:t>
            </w:r>
          </w:p>
        </w:tc>
      </w:tr>
    </w:tbl>
    <w:p w14:paraId="670CDB58">
      <w:pPr>
        <w:spacing w:before="0" w:after="0" w:line="120" w:lineRule="auto"/>
      </w:pPr>
    </w:p>
    <w:p w14:paraId="141CB5DE">
      <w:pPr>
        <w:spacing w:before="0" w:after="40" w:line="276" w:lineRule="auto"/>
      </w:pPr>
      <w:r>
        <w:rPr>
          <w:rFonts w:ascii="微软雅黑" w:hAnsi="微软雅黑" w:eastAsia="微软雅黑"/>
          <w:b/>
          <w:bCs/>
          <w:color w:val="1A2B3C"/>
          <w:sz w:val="21"/>
          <w:szCs w:val="21"/>
        </w:rPr>
        <w:t>节奏铁律</w:t>
      </w:r>
      <w:r>
        <w:rPr>
          <w:rFonts w:ascii="微软雅黑" w:hAnsi="微软雅黑" w:eastAsia="微软雅黑"/>
          <w:color w:val="1A2B3C"/>
          <w:sz w:val="21"/>
          <w:szCs w:val="21"/>
        </w:rPr>
        <w:t>：页面用于展示证据，口头只讲主线。每页控制在 30–70 秒，数字要说清，但不要逐项朗读页面文字。</w:t>
      </w:r>
    </w:p>
    <w:p w14:paraId="5745FDDB">
      <w:pPr>
        <w:spacing w:before="0" w:after="120" w:line="300" w:lineRule="auto"/>
        <w:ind w:left="140" w:right="0" w:firstLine="0"/>
      </w:pPr>
      <w:r>
        <w:rPr>
          <w:rFonts w:ascii="微软雅黑" w:hAnsi="微软雅黑" w:eastAsia="微软雅黑"/>
          <w:color w:val="1A2B3C"/>
          <w:sz w:val="22"/>
          <w:szCs w:val="22"/>
        </w:rPr>
        <w:t>两条硬规矩：① 上台先报自己负责的模块；② 课程简报明确「演示视频禁止 AI 生成讲稿/合成语音」（briefing v2.17 评分项 5）——本稿是</w:t>
      </w:r>
      <w:r>
        <w:rPr>
          <w:rFonts w:ascii="微软雅黑" w:hAnsi="微软雅黑" w:eastAsia="微软雅黑"/>
          <w:b/>
          <w:bCs/>
          <w:color w:val="1A2B3C"/>
          <w:sz w:val="22"/>
          <w:szCs w:val="22"/>
        </w:rPr>
        <w:t>提纲与口径</w:t>
      </w:r>
      <w:r>
        <w:rPr>
          <w:rFonts w:ascii="微软雅黑" w:hAnsi="微软雅黑" w:eastAsia="微软雅黑"/>
          <w:color w:val="1A2B3C"/>
          <w:sz w:val="22"/>
          <w:szCs w:val="22"/>
        </w:rPr>
        <w:t>，请用自己的话讲。</w:t>
      </w:r>
    </w:p>
    <w:p w14:paraId="4DADC318">
      <w:pPr>
        <w:spacing w:before="0" w:after="40" w:line="276" w:lineRule="auto"/>
      </w:pPr>
      <w:r>
        <w:rPr>
          <w:rFonts w:ascii="微软雅黑" w:hAnsi="微软雅黑" w:eastAsia="微软雅黑"/>
          <w:b/>
          <w:bCs/>
          <w:color w:val="1A2B3C"/>
          <w:sz w:val="21"/>
          <w:szCs w:val="21"/>
        </w:rPr>
        <w:t>PPT 页序（10 页，按 `PharmaColdOps .pptx`）</w:t>
      </w:r>
      <w:r>
        <w:rPr>
          <w:rFonts w:ascii="微软雅黑" w:hAnsi="微软雅黑" w:eastAsia="微软雅黑"/>
          <w:color w:val="1A2B3C"/>
          <w:sz w:val="21"/>
          <w:szCs w:val="21"/>
        </w:rPr>
        <w:t>：P1 封面 · P2 问题 · P3 缺口 · P4 方案 · P5 定位 · P6 数据 · P7 已跑通的实现 · P8 结果 · P9 风险与团队 · P10 结论。★ P1–P10 的页号即本稿的 P 编号。</w:t>
      </w:r>
    </w:p>
    <w:p w14:paraId="6BFD76CD">
      <w:pPr>
        <w:spacing w:before="0" w:after="120" w:line="300" w:lineRule="auto"/>
        <w:ind w:left="140" w:right="0" w:firstLine="0"/>
      </w:pPr>
      <w:r>
        <w:rPr>
          <w:rFonts w:ascii="微软雅黑" w:hAnsi="微软雅黑" w:eastAsia="微软雅黑"/>
          <w:color w:val="1A2B3C"/>
          <w:sz w:val="22"/>
          <w:szCs w:val="22"/>
        </w:rPr>
        <w:t xml:space="preserve">P8 口播使用 </w:t>
      </w:r>
      <w:r>
        <w:rPr>
          <w:rFonts w:ascii="Arial" w:hAnsi="Arial" w:eastAsia="微软雅黑"/>
          <w:b/>
          <w:bCs/>
          <w:color w:val="1A2B3C"/>
          <w:sz w:val="22"/>
          <w:szCs w:val="22"/>
        </w:rPr>
        <w:t>agreement</w:t>
      </w:r>
      <w:r>
        <w:rPr>
          <w:rFonts w:ascii="微软雅黑" w:hAnsi="微软雅黑" w:eastAsia="微软雅黑"/>
          <w:color w:val="1A2B3C"/>
          <w:sz w:val="22"/>
          <w:szCs w:val="22"/>
        </w:rPr>
        <w:t>，不用 accuracy，并明确说明比较对象是我们自己的 rubric，而不是临床或现场结果。</w:t>
      </w:r>
    </w:p>
    <w:p w14:paraId="203FAC24">
      <w:pPr>
        <w:spacing w:before="0" w:after="120" w:line="300" w:lineRule="auto"/>
        <w:ind w:left="140" w:right="0" w:firstLine="0"/>
      </w:pPr>
      <w:r>
        <w:rPr>
          <w:rFonts w:ascii="微软雅黑" w:hAnsi="微软雅黑" w:eastAsia="微软雅黑"/>
          <w:color w:val="1A2B3C"/>
          <w:sz w:val="22"/>
          <w:szCs w:val="22"/>
        </w:rPr>
        <w:t>P5 是本场主要的市场定位与相关工作内容；若超时，优先压缩 P8 的风险模型数字。</w:t>
      </w:r>
    </w:p>
    <w:p w14:paraId="46558C1E">
      <w:pPr>
        <w:spacing w:before="0" w:after="120" w:line="300" w:lineRule="auto"/>
        <w:ind w:left="140" w:right="0" w:firstLine="0"/>
      </w:pPr>
      <w:r>
        <w:rPr>
          <w:rFonts w:ascii="微软雅黑" w:hAnsi="微软雅黑" w:eastAsia="微软雅黑"/>
          <w:b/>
          <w:bCs/>
          <w:color w:val="1A2B3C"/>
          <w:sz w:val="22"/>
          <w:szCs w:val="22"/>
        </w:rPr>
        <w:t>上台前必读第 1 条：四人口径必须一致</w:t>
      </w:r>
      <w:r>
        <w:rPr>
          <w:rFonts w:ascii="微软雅黑" w:hAnsi="微软雅黑" w:eastAsia="微软雅黑"/>
          <w:color w:val="1A2B3C"/>
          <w:sz w:val="22"/>
          <w:szCs w:val="22"/>
        </w:rPr>
        <w:t>（完整清单见文末「口径速查」）。</w:t>
      </w:r>
    </w:p>
    <w:p w14:paraId="14F89181">
      <w:r>
        <w:br w:type="page"/>
      </w:r>
    </w:p>
    <w:p w14:paraId="760913A1">
      <w:pPr>
        <w:keepNext/>
        <w:spacing w:before="120" w:after="160" w:line="288" w:lineRule="auto"/>
      </w:pPr>
      <w:r>
        <w:rPr>
          <w:rFonts w:ascii="微软雅黑" w:hAnsi="微软雅黑" w:eastAsia="微软雅黑"/>
          <w:color w:val="1A2B3C"/>
          <w:sz w:val="32"/>
          <w:szCs w:val="32"/>
        </w:rPr>
        <w:t>PART A · Xu Wenzhe — 封面 · 问题 · 缺口（1:35）</w:t>
      </w:r>
    </w:p>
    <w:p w14:paraId="689CCEA1">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P1 封面（30 秒）</w:t>
      </w:r>
    </w:p>
    <w:p w14:paraId="13CEC512">
      <w:pPr>
        <w:spacing w:before="0" w:after="120" w:line="300" w:lineRule="auto"/>
        <w:ind w:left="140" w:right="0" w:firstLine="0"/>
      </w:pPr>
      <w:r>
        <w:rPr>
          <w:rFonts w:ascii="Arial" w:hAnsi="Arial" w:eastAsia="微软雅黑"/>
          <w:color w:val="1A2B3C"/>
          <w:sz w:val="22"/>
          <w:szCs w:val="22"/>
        </w:rPr>
        <w:t xml:space="preserve">Good morning. We are </w:t>
      </w:r>
      <w:r>
        <w:rPr>
          <w:rFonts w:ascii="Arial" w:hAnsi="Arial" w:eastAsia="微软雅黑"/>
          <w:b/>
          <w:bCs/>
          <w:color w:val="1A2B3C"/>
          <w:sz w:val="22"/>
          <w:szCs w:val="22"/>
        </w:rPr>
        <w:t>Project Group 41</w:t>
      </w:r>
      <w:r>
        <w:rPr>
          <w:rFonts w:ascii="Arial" w:hAnsi="Arial" w:eastAsia="微软雅黑"/>
          <w:color w:val="1A2B3C"/>
          <w:sz w:val="22"/>
          <w:szCs w:val="22"/>
        </w:rPr>
        <w:t xml:space="preserve"> — Xu Wenzhe, Zhu Jianyu, Wang Lepeng and Shen Ziyi, student IDs A0328771W, A0353769L, A0357864L and A0350940J. Our project is </w:t>
      </w:r>
      <w:r>
        <w:rPr>
          <w:rFonts w:ascii="Arial" w:hAnsi="Arial" w:eastAsia="微软雅黑"/>
          <w:b/>
          <w:bCs/>
          <w:color w:val="1A2B3C"/>
          <w:sz w:val="22"/>
          <w:szCs w:val="22"/>
        </w:rPr>
        <w:t>PharmaColdOps</w:t>
      </w:r>
      <w:r>
        <w:rPr>
          <w:rFonts w:ascii="Arial" w:hAnsi="Arial" w:eastAsia="微软雅黑"/>
          <w:color w:val="1A2B3C"/>
          <w:sz w:val="22"/>
          <w:szCs w:val="22"/>
        </w:rPr>
        <w:t>, a decision-support prototype for cold-chain pharmaceutical excursions. It connects a reported temperature event to a disposition, a separate reshipment workflow, a route and the supporting evidence. I will introduce the problem, Jianyu will explain the approach, Lepeng will show what is running, and Ziyi will present the results.</w:t>
      </w:r>
    </w:p>
    <w:p w14:paraId="444B7D39">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P2 问题（30 秒）</w:t>
      </w:r>
    </w:p>
    <w:p w14:paraId="1D0C7A6C">
      <w:pPr>
        <w:spacing w:before="0" w:after="120" w:line="300" w:lineRule="auto"/>
        <w:ind w:left="140" w:right="0" w:firstLine="0"/>
      </w:pPr>
      <w:r>
        <w:rPr>
          <w:rFonts w:ascii="Arial" w:hAnsi="Arial" w:eastAsia="微软雅黑"/>
          <w:color w:val="1A2B3C"/>
          <w:sz w:val="22"/>
          <w:szCs w:val="22"/>
        </w:rPr>
        <w:t xml:space="preserve">A temperature excursion during transport or storage can compromise a batch. The quality team must choose one of four dispositions — </w:t>
      </w:r>
      <w:r>
        <w:rPr>
          <w:rFonts w:ascii="Arial" w:hAnsi="Arial" w:eastAsia="微软雅黑"/>
          <w:b/>
          <w:bCs/>
          <w:color w:val="1A2B3C"/>
          <w:sz w:val="22"/>
          <w:szCs w:val="22"/>
        </w:rPr>
        <w:t>release, quarantine, retest or scrap</w:t>
      </w:r>
      <w:r>
        <w:rPr>
          <w:rFonts w:ascii="Arial" w:hAnsi="Arial" w:eastAsia="微软雅黑"/>
          <w:color w:val="1A2B3C"/>
          <w:sz w:val="22"/>
          <w:szCs w:val="22"/>
        </w:rPr>
        <w:t>. Many monitoring systems detect and record the event, but the disposition may still depend on manual judgement and vary by shift. The reasoning is often difficult to reconstruct afterwards.</w:t>
      </w:r>
    </w:p>
    <w:p w14:paraId="5B5BC6FA">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P3 现有工具的缺口（35 秒）</w:t>
      </w:r>
    </w:p>
    <w:p w14:paraId="13B344CC">
      <w:pPr>
        <w:spacing w:before="0" w:after="120" w:line="300" w:lineRule="auto"/>
        <w:ind w:left="140" w:right="0" w:firstLine="0"/>
      </w:pPr>
      <w:r>
        <w:rPr>
          <w:rFonts w:ascii="Arial" w:hAnsi="Arial" w:eastAsia="微软雅黑"/>
          <w:color w:val="1A2B3C"/>
          <w:sz w:val="22"/>
          <w:szCs w:val="22"/>
        </w:rPr>
        <w:t xml:space="preserve">Monitoring and some quality-process automation already exist, so we do not claim to be first. We focus on three remaining gaps. </w:t>
      </w:r>
      <w:r>
        <w:rPr>
          <w:rFonts w:ascii="Arial" w:hAnsi="Arial" w:eastAsia="微软雅黑"/>
          <w:b/>
          <w:bCs/>
          <w:color w:val="1A2B3C"/>
          <w:sz w:val="22"/>
          <w:szCs w:val="22"/>
        </w:rPr>
        <w:t>Fragmented</w:t>
      </w:r>
      <w:r>
        <w:rPr>
          <w:rFonts w:ascii="Arial" w:hAnsi="Arial" w:eastAsia="微软雅黑"/>
          <w:color w:val="1A2B3C"/>
          <w:sz w:val="22"/>
          <w:szCs w:val="22"/>
        </w:rPr>
        <w:t xml:space="preserve">: disposition, replacement orders and routing sit in different systems. </w:t>
      </w:r>
      <w:r>
        <w:rPr>
          <w:rFonts w:ascii="Arial" w:hAnsi="Arial" w:eastAsia="微软雅黑"/>
          <w:b/>
          <w:bCs/>
          <w:color w:val="1A2B3C"/>
          <w:sz w:val="22"/>
          <w:szCs w:val="22"/>
        </w:rPr>
        <w:t>Disconnected</w:t>
      </w:r>
      <w:r>
        <w:rPr>
          <w:rFonts w:ascii="Arial" w:hAnsi="Arial" w:eastAsia="微软雅黑"/>
          <w:color w:val="1A2B3C"/>
          <w:sz w:val="22"/>
          <w:szCs w:val="22"/>
        </w:rPr>
        <w:t xml:space="preserve">: the handoff between quality and logistics is often manual. </w:t>
      </w:r>
      <w:r>
        <w:rPr>
          <w:rFonts w:ascii="Arial" w:hAnsi="Arial" w:eastAsia="微软雅黑"/>
          <w:b/>
          <w:bCs/>
          <w:color w:val="1A2B3C"/>
          <w:sz w:val="22"/>
          <w:szCs w:val="22"/>
        </w:rPr>
        <w:t>Unverifiable</w:t>
      </w:r>
      <w:r>
        <w:rPr>
          <w:rFonts w:ascii="Arial" w:hAnsi="Arial" w:eastAsia="微软雅黑"/>
          <w:color w:val="1A2B3C"/>
          <w:sz w:val="22"/>
          <w:szCs w:val="22"/>
        </w:rPr>
        <w:t>: a recommendation that cannot show its rule, evidence and limits is difficult to approve or audit. That is why our online recommendation comes from a deterministic rule engine rather than a black box.</w:t>
      </w:r>
    </w:p>
    <w:p w14:paraId="07770025">
      <w:r>
        <w:br w:type="page"/>
      </w:r>
    </w:p>
    <w:p w14:paraId="77574A71">
      <w:pPr>
        <w:keepNext/>
        <w:spacing w:before="120" w:after="160" w:line="288" w:lineRule="auto"/>
      </w:pPr>
      <w:r>
        <w:rPr>
          <w:rFonts w:ascii="微软雅黑" w:hAnsi="微软雅黑" w:eastAsia="微软雅黑"/>
          <w:color w:val="1A2B3C"/>
          <w:sz w:val="32"/>
          <w:szCs w:val="32"/>
        </w:rPr>
        <w:t>PART B · Zhu Jianyu — 方案 · 定位（1:50）</w:t>
      </w:r>
    </w:p>
    <w:p w14:paraId="2B30AC32">
      <w:pPr>
        <w:spacing w:before="0" w:after="120" w:line="300" w:lineRule="auto"/>
        <w:ind w:left="140" w:right="0" w:firstLine="0"/>
      </w:pPr>
      <w:r>
        <w:rPr>
          <w:rFonts w:ascii="微软雅黑" w:hAnsi="微软雅黑" w:eastAsia="微软雅黑"/>
          <w:b/>
          <w:bCs/>
          <w:color w:val="1A2B3C"/>
          <w:sz w:val="22"/>
          <w:szCs w:val="22"/>
        </w:rPr>
        <w:t>过渡</w:t>
      </w:r>
      <w:r>
        <w:rPr>
          <w:rFonts w:ascii="Arial" w:hAnsi="Arial" w:eastAsia="微软雅黑"/>
          <w:color w:val="1A2B3C"/>
          <w:sz w:val="22"/>
          <w:szCs w:val="22"/>
        </w:rPr>
        <w:t xml:space="preserve">：Thank you. I'm </w:t>
      </w:r>
      <w:r>
        <w:rPr>
          <w:rFonts w:hint="eastAsia"/>
          <w:color w:val="1A2B3C"/>
          <w:sz w:val="22"/>
          <w:szCs w:val="22"/>
          <w:lang w:val="en-US" w:eastAsia="zh-CN"/>
        </w:rPr>
        <w:t>res</w:t>
      </w:r>
      <w:r>
        <w:rPr>
          <w:rFonts w:hint="default"/>
          <w:color w:val="1A2B3C"/>
          <w:sz w:val="22"/>
          <w:szCs w:val="22"/>
          <w:lang w:val="en-US" w:eastAsia="zh-CN"/>
        </w:rPr>
        <w:t>ponsibale for the</w:t>
      </w:r>
      <w:r>
        <w:rPr>
          <w:rFonts w:ascii="Arial" w:hAnsi="Arial" w:eastAsia="微软雅黑"/>
          <w:color w:val="1A2B3C"/>
          <w:sz w:val="22"/>
          <w:szCs w:val="22"/>
        </w:rPr>
        <w:t xml:space="preserve"> data and the offline machine-learning experiments. I'll explain what we built and where it sits.</w:t>
      </w:r>
    </w:p>
    <w:p w14:paraId="2D1760A6">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P4 方案（45 秒）</w:t>
      </w:r>
    </w:p>
    <w:p w14:paraId="57906D50">
      <w:pPr>
        <w:spacing w:before="0" w:after="120" w:line="300" w:lineRule="auto"/>
        <w:ind w:left="140" w:right="0" w:firstLine="0"/>
      </w:pPr>
      <w:r>
        <w:rPr>
          <w:rFonts w:ascii="Arial" w:hAnsi="Arial" w:eastAsia="微软雅黑"/>
          <w:color w:val="1A2B3C"/>
          <w:sz w:val="22"/>
          <w:szCs w:val="22"/>
        </w:rPr>
        <w:t xml:space="preserve">PharmaColdOps starts from a reported excursion and returns one of the </w:t>
      </w:r>
      <w:r>
        <w:rPr>
          <w:rFonts w:ascii="Arial" w:hAnsi="Arial" w:eastAsia="微软雅黑"/>
          <w:b/>
          <w:bCs/>
          <w:color w:val="1A2B3C"/>
          <w:sz w:val="22"/>
          <w:szCs w:val="22"/>
        </w:rPr>
        <w:t>four dispositions with a traceable rule path</w:t>
      </w:r>
      <w:r>
        <w:rPr>
          <w:rFonts w:ascii="Arial" w:hAnsi="Arial" w:eastAsia="微软雅黑"/>
          <w:color w:val="1A2B3C"/>
          <w:sz w:val="22"/>
          <w:szCs w:val="22"/>
        </w:rPr>
        <w:t xml:space="preserve">. If replacement stock is needed, </w:t>
      </w:r>
      <w:r>
        <w:rPr>
          <w:rFonts w:ascii="Arial" w:hAnsi="Arial" w:eastAsia="微软雅黑"/>
          <w:b/>
          <w:bCs/>
          <w:color w:val="1A2B3C"/>
          <w:sz w:val="22"/>
          <w:szCs w:val="22"/>
        </w:rPr>
        <w:t>reshipment remains a separate logistics action, not a fifth disposition</w:t>
      </w:r>
      <w:r>
        <w:rPr>
          <w:rFonts w:ascii="Arial" w:hAnsi="Arial" w:eastAsia="微软雅黑"/>
          <w:color w:val="1A2B3C"/>
          <w:sz w:val="22"/>
          <w:szCs w:val="22"/>
        </w:rPr>
        <w:t>. The system creates an order with destinations, quantities and time windows, then solves a capacity- and time-window routing problem. Every recommendation cites its rule, its regulation or SOP, and the limits of that evidence. The rule engine is the sole semantic source of the online recommendation; ML scores stay outside the decision API so the decision remains inspectable.</w:t>
      </w:r>
    </w:p>
    <w:p w14:paraId="203AB29D">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P5 定位（55 秒）</w:t>
      </w:r>
    </w:p>
    <w:p w14:paraId="6204112C">
      <w:pPr>
        <w:spacing w:before="0" w:after="120" w:line="300" w:lineRule="auto"/>
        <w:ind w:left="140" w:right="0" w:firstLine="0"/>
      </w:pPr>
      <w:r>
        <w:rPr>
          <w:rFonts w:ascii="Arial" w:hAnsi="Arial" w:eastAsia="微软雅黑"/>
          <w:color w:val="1A2B3C"/>
          <w:sz w:val="22"/>
          <w:szCs w:val="22"/>
        </w:rPr>
        <w:t xml:space="preserve">Commercial platforms already monitor temperature and automate parts of the quality process. For example, Controlant's Product Stability Automation determines release status from a product's stability profile. We do not claim to be first, and we mark vendor capabilities we have not verified as unknown. We also build on published foundations: </w:t>
      </w:r>
      <w:r>
        <w:rPr>
          <w:rFonts w:ascii="Arial" w:hAnsi="Arial" w:eastAsia="微软雅黑"/>
          <w:b/>
          <w:bCs/>
          <w:color w:val="1A2B3C"/>
          <w:sz w:val="22"/>
          <w:szCs w:val="22"/>
        </w:rPr>
        <w:t>Solomon's VRPTW benchmark, Google OR-Tools, gradient-boosted trees and SHAP</w:t>
      </w:r>
      <w:r>
        <w:rPr>
          <w:rFonts w:ascii="Arial" w:hAnsi="Arial" w:eastAsia="微软雅黑"/>
          <w:color w:val="1A2B3C"/>
          <w:sz w:val="22"/>
          <w:szCs w:val="22"/>
        </w:rPr>
        <w:t>.</w:t>
      </w:r>
    </w:p>
    <w:p w14:paraId="0D5F1CF7">
      <w:pPr>
        <w:spacing w:before="0" w:after="120" w:line="300" w:lineRule="auto"/>
        <w:ind w:left="140" w:right="0" w:firstLine="0"/>
      </w:pPr>
      <w:r>
        <w:rPr>
          <w:rFonts w:ascii="Arial" w:hAnsi="Arial" w:eastAsia="微软雅黑"/>
          <w:color w:val="1A2B3C"/>
          <w:sz w:val="22"/>
          <w:szCs w:val="22"/>
        </w:rPr>
        <w:t>Our contribution is therefore not a new algorithm. It is one inspectable chain from temperature event to disposition, replacement order, route and cited evidence. The intended users are the quality lead who approves the deviation, the dispatcher who re-plans the delivery, and the auditor who later reconstructs the decision.</w:t>
      </w:r>
    </w:p>
    <w:p w14:paraId="6CB27906">
      <w:r>
        <w:br w:type="page"/>
      </w:r>
    </w:p>
    <w:p w14:paraId="175B2B9C">
      <w:pPr>
        <w:keepNext/>
        <w:spacing w:before="120" w:after="160" w:line="288" w:lineRule="auto"/>
      </w:pPr>
      <w:r>
        <w:rPr>
          <w:rFonts w:ascii="微软雅黑" w:hAnsi="微软雅黑" w:eastAsia="微软雅黑"/>
          <w:color w:val="1A2B3C"/>
          <w:sz w:val="32"/>
          <w:szCs w:val="32"/>
        </w:rPr>
        <w:t>PART C · Wang Lepeng — 数据 · 已实现（2:05）</w:t>
      </w:r>
    </w:p>
    <w:p w14:paraId="68E4A748">
      <w:pPr>
        <w:spacing w:before="0" w:after="120" w:line="300" w:lineRule="auto"/>
        <w:ind w:left="140" w:right="0" w:firstLine="0"/>
      </w:pPr>
      <w:r>
        <w:rPr>
          <w:rFonts w:ascii="微软雅黑" w:hAnsi="微软雅黑" w:eastAsia="微软雅黑"/>
          <w:b/>
          <w:bCs/>
          <w:color w:val="1A2B3C"/>
          <w:sz w:val="22"/>
          <w:szCs w:val="22"/>
        </w:rPr>
        <w:t>过渡</w:t>
      </w:r>
      <w:r>
        <w:rPr>
          <w:rFonts w:ascii="Arial" w:hAnsi="Arial" w:eastAsia="微软雅黑"/>
          <w:color w:val="1A2B3C"/>
          <w:sz w:val="22"/>
          <w:szCs w:val="22"/>
        </w:rPr>
        <w:t>：Thanks, Jianyu. I'm</w:t>
      </w:r>
      <w:r>
        <w:rPr>
          <w:rFonts w:hint="default"/>
          <w:color w:val="1A2B3C"/>
          <w:sz w:val="22"/>
          <w:szCs w:val="22"/>
          <w:lang w:val="en-US"/>
        </w:rPr>
        <w:t xml:space="preserve"> responsible for</w:t>
      </w:r>
      <w:r>
        <w:rPr>
          <w:rFonts w:ascii="Arial" w:hAnsi="Arial" w:eastAsia="微软雅黑"/>
          <w:color w:val="1A2B3C"/>
          <w:sz w:val="22"/>
          <w:szCs w:val="22"/>
        </w:rPr>
        <w:t xml:space="preserve"> delivery optimisation, and I'll cover the data and what actually runs today. </w:t>
      </w:r>
      <w:r>
        <w:rPr>
          <w:rFonts w:ascii="微软雅黑" w:hAnsi="微软雅黑" w:eastAsia="微软雅黑"/>
          <w:i/>
          <w:iCs/>
          <w:color w:val="1A2B3C"/>
          <w:sz w:val="22"/>
          <w:szCs w:val="22"/>
        </w:rPr>
        <w:t>(先报自己负责的模块)</w:t>
      </w:r>
    </w:p>
    <w:p w14:paraId="7027A9EF">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P6 数据（50 秒）</w:t>
      </w:r>
    </w:p>
    <w:p w14:paraId="6D7AC575">
      <w:pPr>
        <w:spacing w:before="0" w:after="120" w:line="300" w:lineRule="auto"/>
        <w:ind w:left="140" w:right="0" w:firstLine="0"/>
      </w:pPr>
      <w:r>
        <w:rPr>
          <w:rFonts w:ascii="Arial" w:hAnsi="Arial" w:eastAsia="微软雅黑"/>
          <w:color w:val="1A2B3C"/>
          <w:sz w:val="22"/>
          <w:szCs w:val="22"/>
        </w:rPr>
        <w:t>Our inputs are publicly accessible, with their sources and licences recorded, but their limitations matter. The silent-failure dataset contains about 8,000 shipment summaries and appears synthetic. The vaccine-distribution dataset has about 26,700 rows and also appears synthetic. The facility-monthly records are simulated. We use each dataset only for its stated task. For routing, we use six published Solomon instances and a real OpenStreetMap road network for Singapore.</w:t>
      </w:r>
    </w:p>
    <w:p w14:paraId="258AF4C1">
      <w:pPr>
        <w:spacing w:before="0" w:after="120" w:line="300" w:lineRule="auto"/>
        <w:ind w:left="140" w:right="0" w:firstLine="0"/>
      </w:pPr>
      <w:r>
        <w:rPr>
          <w:rFonts w:ascii="Arial" w:hAnsi="Arial" w:eastAsia="微软雅黑"/>
          <w:color w:val="1A2B3C"/>
          <w:sz w:val="22"/>
          <w:szCs w:val="22"/>
        </w:rPr>
        <w:t xml:space="preserve">The regulatory layer also separates evidence from assumptions. </w:t>
      </w:r>
      <w:r>
        <w:rPr>
          <w:rFonts w:ascii="Arial" w:hAnsi="Arial" w:eastAsia="微软雅黑"/>
          <w:b/>
          <w:bCs/>
          <w:color w:val="1A2B3C"/>
          <w:sz w:val="22"/>
          <w:szCs w:val="22"/>
        </w:rPr>
        <w:t>ICH provides the stability-evidence framework</w:t>
      </w:r>
      <w:r>
        <w:rPr>
          <w:rFonts w:ascii="Arial" w:hAnsi="Arial" w:eastAsia="微软雅黑"/>
          <w:color w:val="1A2B3C"/>
          <w:sz w:val="22"/>
          <w:szCs w:val="22"/>
        </w:rPr>
        <w:t xml:space="preserve">, while </w:t>
      </w:r>
      <w:r>
        <w:rPr>
          <w:rFonts w:ascii="Arial" w:hAnsi="Arial" w:eastAsia="微软雅黑"/>
          <w:b/>
          <w:bCs/>
          <w:color w:val="1A2B3C"/>
          <w:sz w:val="22"/>
          <w:szCs w:val="22"/>
        </w:rPr>
        <w:t>WHO TRS 961 Annex 9, EU GDP and CDC</w:t>
      </w:r>
      <w:r>
        <w:rPr>
          <w:rFonts w:ascii="Arial" w:hAnsi="Arial" w:eastAsia="微软雅黑"/>
          <w:color w:val="1A2B3C"/>
          <w:sz w:val="22"/>
          <w:szCs w:val="22"/>
        </w:rPr>
        <w:t xml:space="preserve"> provide procedural or transport guidance. The numeric thresholds in our prototype are documented </w:t>
      </w:r>
      <w:r>
        <w:rPr>
          <w:rFonts w:ascii="Arial" w:hAnsi="Arial" w:eastAsia="微软雅黑"/>
          <w:b/>
          <w:bCs/>
          <w:color w:val="1A2B3C"/>
          <w:sz w:val="22"/>
          <w:szCs w:val="22"/>
        </w:rPr>
        <w:t>engineering assumptions</w:t>
      </w:r>
      <w:r>
        <w:rPr>
          <w:rFonts w:ascii="Arial" w:hAnsi="Arial" w:eastAsia="微软雅黑"/>
          <w:color w:val="1A2B3C"/>
          <w:sz w:val="22"/>
          <w:szCs w:val="22"/>
        </w:rPr>
        <w:t>, not regulatory limits copied from those sources.</w:t>
      </w:r>
    </w:p>
    <w:p w14:paraId="6B756142">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P7 已跑通的实现（65 秒）</w:t>
      </w:r>
    </w:p>
    <w:p w14:paraId="63C1BBFA">
      <w:pPr>
        <w:spacing w:before="0" w:after="120" w:line="300" w:lineRule="auto"/>
        <w:ind w:left="140" w:right="0" w:firstLine="0"/>
      </w:pPr>
      <w:r>
        <w:rPr>
          <w:rFonts w:ascii="Arial" w:hAnsi="Arial" w:eastAsia="微软雅黑"/>
          <w:color w:val="1A2B3C"/>
          <w:sz w:val="22"/>
          <w:szCs w:val="22"/>
        </w:rPr>
        <w:t xml:space="preserve">This slide freezes our </w:t>
      </w:r>
      <w:r>
        <w:rPr>
          <w:rFonts w:ascii="Arial" w:hAnsi="Arial" w:eastAsia="微软雅黑"/>
          <w:b/>
          <w:bCs/>
          <w:color w:val="1A2B3C"/>
          <w:sz w:val="22"/>
          <w:szCs w:val="22"/>
        </w:rPr>
        <w:t>27 September repository snapshot</w:t>
      </w:r>
      <w:r>
        <w:rPr>
          <w:rFonts w:ascii="Arial" w:hAnsi="Arial" w:eastAsia="微软雅黑"/>
          <w:color w:val="1A2B3C"/>
          <w:sz w:val="22"/>
          <w:szCs w:val="22"/>
        </w:rPr>
        <w:t xml:space="preserve">. The backend has </w:t>
      </w:r>
      <w:r>
        <w:rPr>
          <w:rFonts w:ascii="Arial" w:hAnsi="Arial" w:eastAsia="微软雅黑"/>
          <w:b/>
          <w:bCs/>
          <w:color w:val="1A2B3C"/>
          <w:sz w:val="22"/>
          <w:szCs w:val="22"/>
        </w:rPr>
        <w:t>23 API paths and 24 operations</w:t>
      </w:r>
      <w:r>
        <w:rPr>
          <w:rFonts w:ascii="Arial" w:hAnsi="Arial" w:eastAsia="微软雅黑"/>
          <w:color w:val="1A2B3C"/>
          <w:sz w:val="22"/>
          <w:szCs w:val="22"/>
        </w:rPr>
        <w:t xml:space="preserve">, including </w:t>
      </w:r>
      <w:r>
        <w:rPr>
          <w:rFonts w:ascii="Arial" w:hAnsi="Arial" w:eastAsia="微软雅黑"/>
          <w:b/>
          <w:bCs/>
          <w:color w:val="1A2B3C"/>
          <w:sz w:val="22"/>
          <w:szCs w:val="22"/>
        </w:rPr>
        <w:t>15 dispatch paths and 16 dispatch operations</w:t>
      </w:r>
      <w:r>
        <w:rPr>
          <w:rFonts w:ascii="Arial" w:hAnsi="Arial" w:eastAsia="微软雅黑"/>
          <w:color w:val="1A2B3C"/>
          <w:sz w:val="22"/>
          <w:szCs w:val="22"/>
        </w:rPr>
        <w:t>. We have one bilingual Vue 3 client with 23 components, plus 305 test functions across 34 test files. The 25 archived cases and 56 persisted dispatch records shown here are runtime snapshot counts, rather than permanent code metrics.</w:t>
      </w:r>
    </w:p>
    <w:p w14:paraId="20202756">
      <w:pPr>
        <w:spacing w:before="0" w:after="120" w:line="300" w:lineRule="auto"/>
        <w:ind w:left="140" w:right="0" w:firstLine="0"/>
      </w:pPr>
      <w:r>
        <w:rPr>
          <w:rFonts w:ascii="Arial" w:hAnsi="Arial" w:eastAsia="微软雅黑"/>
          <w:color w:val="1A2B3C"/>
          <w:sz w:val="22"/>
          <w:szCs w:val="22"/>
        </w:rPr>
        <w:t>The end-to-end flow is working: close a case, generate its reshipment route, query the graph for supporting evidence, and submit the case to a delivery run that reserves stock, assigns a vehicle and tracks delivery. The screenshot shows the real client.</w:t>
      </w:r>
    </w:p>
    <w:p w14:paraId="70A111E2">
      <w:pPr>
        <w:spacing w:before="0" w:after="120" w:line="300" w:lineRule="auto"/>
        <w:ind w:left="140" w:right="0" w:firstLine="0"/>
      </w:pPr>
      <w:r>
        <w:rPr>
          <w:rFonts w:ascii="Arial" w:hAnsi="Arial" w:eastAsia="微软雅黑"/>
          <w:color w:val="1A2B3C"/>
          <w:sz w:val="22"/>
          <w:szCs w:val="22"/>
        </w:rPr>
        <w:t>One technical challenge was OR-Tools' default first-solution strategy, which could not construct a feasible start on r101 and rc101. We switched to parallel cheapest insertion with Guided Local Search; increasing the time limit alone did not solve the problem. Cloud deployment, de-duplication and a larger destination pool remain unfinished.</w:t>
      </w:r>
    </w:p>
    <w:p w14:paraId="0332B3D2">
      <w:r>
        <w:br w:type="page"/>
      </w:r>
    </w:p>
    <w:p w14:paraId="4DE4789E">
      <w:pPr>
        <w:keepNext/>
        <w:spacing w:before="120" w:after="160" w:line="288" w:lineRule="auto"/>
      </w:pPr>
      <w:r>
        <w:rPr>
          <w:rFonts w:ascii="微软雅黑" w:hAnsi="微软雅黑" w:eastAsia="微软雅黑"/>
          <w:color w:val="1A2B3C"/>
          <w:sz w:val="32"/>
          <w:szCs w:val="32"/>
        </w:rPr>
        <w:t>PART D · Shen Ziyi — 结果 · 局限 · 结论（2:25）</w:t>
      </w:r>
    </w:p>
    <w:p w14:paraId="12FD0FB3">
      <w:pPr>
        <w:spacing w:before="0" w:after="120" w:line="300" w:lineRule="auto"/>
        <w:ind w:left="140" w:right="0" w:firstLine="0"/>
      </w:pPr>
      <w:r>
        <w:rPr>
          <w:rFonts w:ascii="微软雅黑" w:hAnsi="微软雅黑" w:eastAsia="微软雅黑"/>
          <w:b/>
          <w:bCs/>
          <w:color w:val="1A2B3C"/>
          <w:sz w:val="22"/>
          <w:szCs w:val="22"/>
        </w:rPr>
        <w:t>过渡</w:t>
      </w:r>
      <w:r>
        <w:rPr>
          <w:rFonts w:ascii="Arial" w:hAnsi="Arial" w:eastAsia="微软雅黑"/>
          <w:color w:val="1A2B3C"/>
          <w:sz w:val="22"/>
          <w:szCs w:val="22"/>
        </w:rPr>
        <w:t xml:space="preserve">：Thank you. I'm </w:t>
      </w:r>
      <w:r>
        <w:rPr>
          <w:rFonts w:hint="default"/>
          <w:color w:val="1A2B3C"/>
          <w:sz w:val="22"/>
          <w:szCs w:val="22"/>
          <w:lang w:val="en-US"/>
        </w:rPr>
        <w:t>responsible for</w:t>
      </w:r>
      <w:bookmarkStart w:id="0" w:name="_GoBack"/>
      <w:bookmarkEnd w:id="0"/>
      <w:r>
        <w:rPr>
          <w:rFonts w:ascii="Arial" w:hAnsi="Arial" w:eastAsia="微软雅黑"/>
          <w:color w:val="1A2B3C"/>
          <w:sz w:val="22"/>
          <w:szCs w:val="22"/>
        </w:rPr>
        <w:t xml:space="preserve"> knowledge graph, QA service, API and frontend. I'll give the numbers, then what we are not claiming.</w:t>
      </w:r>
    </w:p>
    <w:p w14:paraId="61AC9D9D">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P8 量化结果（70 秒）</w:t>
      </w:r>
    </w:p>
    <w:p w14:paraId="0A9B1D75">
      <w:pPr>
        <w:spacing w:before="0" w:after="120" w:line="300" w:lineRule="auto"/>
        <w:ind w:left="140" w:right="0" w:firstLine="0"/>
      </w:pPr>
      <w:r>
        <w:rPr>
          <w:rFonts w:ascii="Arial" w:hAnsi="Arial" w:eastAsia="微软雅黑"/>
          <w:color w:val="1A2B3C"/>
          <w:sz w:val="22"/>
          <w:szCs w:val="22"/>
        </w:rPr>
        <w:t xml:space="preserve">The prototype now runs as one connected loop. The rule engine assigns one of </w:t>
      </w:r>
      <w:r>
        <w:rPr>
          <w:rFonts w:ascii="Arial" w:hAnsi="Arial" w:eastAsia="微软雅黑"/>
          <w:b/>
          <w:bCs/>
          <w:color w:val="1A2B3C"/>
          <w:sz w:val="22"/>
          <w:szCs w:val="22"/>
        </w:rPr>
        <w:t>four dispositions</w:t>
      </w:r>
      <w:r>
        <w:rPr>
          <w:rFonts w:ascii="Arial" w:hAnsi="Arial" w:eastAsia="微软雅黑"/>
          <w:color w:val="1A2B3C"/>
          <w:sz w:val="22"/>
          <w:szCs w:val="22"/>
        </w:rPr>
        <w:t xml:space="preserve"> — release, quarantine, retest or scrap. A closed case can then produce a separate reshipment order, a route over the 19-node Singapore road network, and a graph query for supporting evidence. Demand and time windows are simulated, so we do not claim operational savings.</w:t>
      </w:r>
    </w:p>
    <w:p w14:paraId="4FB82D11">
      <w:pPr>
        <w:spacing w:before="0" w:after="120" w:line="300" w:lineRule="auto"/>
        <w:ind w:left="140" w:right="0" w:firstLine="0"/>
      </w:pPr>
      <w:r>
        <w:rPr>
          <w:rFonts w:ascii="Arial" w:hAnsi="Arial" w:eastAsia="微软雅黑"/>
          <w:color w:val="1A2B3C"/>
          <w:sz w:val="22"/>
          <w:szCs w:val="22"/>
        </w:rPr>
        <w:t xml:space="preserve">Against our own human rubric, the </w:t>
      </w:r>
      <w:r>
        <w:rPr>
          <w:rFonts w:ascii="Arial" w:hAnsi="Arial" w:eastAsia="微软雅黑"/>
          <w:b/>
          <w:bCs/>
          <w:color w:val="1A2B3C"/>
          <w:sz w:val="22"/>
          <w:szCs w:val="22"/>
        </w:rPr>
        <w:t>disposition layer agrees on 54 of 57 cases, or 94.7%</w:t>
      </w:r>
      <w:r>
        <w:rPr>
          <w:rFonts w:ascii="Arial" w:hAnsi="Arial" w:eastAsia="微软雅黑"/>
          <w:color w:val="1A2B3C"/>
          <w:sz w:val="22"/>
          <w:szCs w:val="22"/>
        </w:rPr>
        <w:t xml:space="preserve">. This is agreement with our rubric, not clinical accuracy. Annotator agreement is </w:t>
      </w:r>
      <w:r>
        <w:rPr>
          <w:rFonts w:ascii="Arial" w:hAnsi="Arial" w:eastAsia="微软雅黑"/>
          <w:b/>
          <w:bCs/>
          <w:color w:val="1A2B3C"/>
          <w:sz w:val="22"/>
          <w:szCs w:val="22"/>
        </w:rPr>
        <w:t>κ = 0.6434</w:t>
      </w:r>
      <w:r>
        <w:rPr>
          <w:rFonts w:ascii="Arial" w:hAnsi="Arial" w:eastAsia="微软雅黑"/>
          <w:color w:val="1A2B3C"/>
          <w:sz w:val="22"/>
          <w:szCs w:val="22"/>
        </w:rPr>
        <w:t>, below our 0.80 target. The submitted proposal reported 39/57 under rubric v1; rubric v1.1 resolved Rule 4 and left three differences.</w:t>
      </w:r>
    </w:p>
    <w:p w14:paraId="5E779469">
      <w:pPr>
        <w:spacing w:before="0" w:after="120" w:line="300" w:lineRule="auto"/>
        <w:ind w:left="140" w:right="0" w:firstLine="0"/>
      </w:pPr>
      <w:r>
        <w:rPr>
          <w:rFonts w:ascii="Arial" w:hAnsi="Arial" w:eastAsia="微软雅黑"/>
          <w:color w:val="1A2B3C"/>
          <w:sz w:val="22"/>
          <w:szCs w:val="22"/>
        </w:rPr>
        <w:t xml:space="preserve">In the </w:t>
      </w:r>
      <w:r>
        <w:rPr>
          <w:rFonts w:ascii="Arial" w:hAnsi="Arial" w:eastAsia="微软雅黑"/>
          <w:b/>
          <w:bCs/>
          <w:color w:val="1A2B3C"/>
          <w:sz w:val="22"/>
          <w:szCs w:val="22"/>
        </w:rPr>
        <w:t>route layer</w:t>
      </w:r>
      <w:r>
        <w:rPr>
          <w:rFonts w:ascii="Arial" w:hAnsi="Arial" w:eastAsia="微软雅黑"/>
          <w:color w:val="1A2B3C"/>
          <w:sz w:val="22"/>
          <w:szCs w:val="22"/>
        </w:rPr>
        <w:t xml:space="preserve">, distance falls from </w:t>
      </w:r>
      <w:r>
        <w:rPr>
          <w:rFonts w:ascii="Arial" w:hAnsi="Arial" w:eastAsia="微软雅黑"/>
          <w:b/>
          <w:bCs/>
          <w:color w:val="1A2B3C"/>
          <w:sz w:val="22"/>
          <w:szCs w:val="22"/>
        </w:rPr>
        <w:t>142.63 to 133.81 kilometres</w:t>
      </w:r>
      <w:r>
        <w:rPr>
          <w:rFonts w:ascii="Arial" w:hAnsi="Arial" w:eastAsia="微软雅黑"/>
          <w:color w:val="1A2B3C"/>
          <w:sz w:val="22"/>
          <w:szCs w:val="22"/>
        </w:rPr>
        <w:t xml:space="preserve">, a 6.19% reduction against greedy with no violations. The offline </w:t>
      </w:r>
      <w:r>
        <w:rPr>
          <w:rFonts w:ascii="Arial" w:hAnsi="Arial" w:eastAsia="微软雅黑"/>
          <w:b/>
          <w:bCs/>
          <w:color w:val="1A2B3C"/>
          <w:sz w:val="22"/>
          <w:szCs w:val="22"/>
        </w:rPr>
        <w:t>risk layer</w:t>
      </w:r>
      <w:r>
        <w:rPr>
          <w:rFonts w:ascii="Arial" w:hAnsi="Arial" w:eastAsia="微软雅黑"/>
          <w:color w:val="1A2B3C"/>
          <w:sz w:val="22"/>
          <w:szCs w:val="22"/>
        </w:rPr>
        <w:t xml:space="preserve"> reaches F1 0.691 and ROC-AUC 0.925, while cause classification remains below the majority baseline. We report that negative result rather than hiding it.</w:t>
      </w:r>
    </w:p>
    <w:p w14:paraId="01ABB435">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P9 局限与分工（40 秒）</w:t>
      </w:r>
    </w:p>
    <w:p w14:paraId="7DD7F18C">
      <w:pPr>
        <w:spacing w:before="0" w:after="120" w:line="300" w:lineRule="auto"/>
        <w:ind w:left="140" w:right="0" w:firstLine="0"/>
      </w:pPr>
      <w:r>
        <w:rPr>
          <w:rFonts w:ascii="Arial" w:hAnsi="Arial" w:eastAsia="微软雅黑"/>
          <w:color w:val="1A2B3C"/>
          <w:sz w:val="22"/>
          <w:szCs w:val="22"/>
        </w:rPr>
        <w:t>Three limitations drive our next steps. First, annotator agreement is below target and quarantine recall is 0 out of 3, so we will add independent cases and report class support instead of tuning to the same gold set. Second, the cause classifier is below baseline and the data appears synthetic, so we will run multi-fold experiments and keep the claims dataset-specific. Third, the thresholds remain prototype assumptions and need stronger domain evidence.</w:t>
      </w:r>
    </w:p>
    <w:p w14:paraId="4B689AEF">
      <w:pPr>
        <w:spacing w:before="0" w:after="120" w:line="300" w:lineRule="auto"/>
        <w:ind w:left="140" w:right="0" w:firstLine="0"/>
      </w:pPr>
      <w:r>
        <w:rPr>
          <w:rFonts w:ascii="Arial" w:hAnsi="Arial" w:eastAsia="微软雅黑"/>
          <w:color w:val="1A2B3C"/>
          <w:sz w:val="22"/>
          <w:szCs w:val="22"/>
        </w:rPr>
        <w:t>The four of us own rules and evidence, data and models, optimisation, and graph, QA and frontend, with cross-review across modules.</w:t>
      </w:r>
    </w:p>
    <w:p w14:paraId="1B2E67EE">
      <w:pPr>
        <w:keepNext/>
        <w:pBdr>
          <w:left w:val="single" w:color="0D9488" w:sz="18" w:space="8"/>
        </w:pBdr>
        <w:shd w:val="clear" w:color="auto" w:fill="F0FDFA"/>
        <w:spacing w:before="200" w:after="60" w:line="288" w:lineRule="auto"/>
        <w:ind w:left="140" w:right="0" w:firstLine="0"/>
      </w:pPr>
      <w:r>
        <w:rPr>
          <w:rFonts w:ascii="微软雅黑" w:hAnsi="微软雅黑" w:eastAsia="微软雅黑"/>
          <w:b/>
          <w:bCs/>
          <w:color w:val="0D9488"/>
          <w:sz w:val="22"/>
          <w:szCs w:val="22"/>
        </w:rPr>
        <w:t>P10 结论（30 秒）</w:t>
      </w:r>
    </w:p>
    <w:p w14:paraId="7E92E014">
      <w:pPr>
        <w:spacing w:before="0" w:after="120" w:line="300" w:lineRule="auto"/>
        <w:ind w:left="140" w:right="0" w:firstLine="0"/>
      </w:pPr>
      <w:r>
        <w:rPr>
          <w:rFonts w:ascii="Arial" w:hAnsi="Arial" w:eastAsia="微软雅黑"/>
          <w:color w:val="1A2B3C"/>
          <w:sz w:val="22"/>
          <w:szCs w:val="22"/>
        </w:rPr>
        <w:t xml:space="preserve">To close, the reasoning path now exists and covers </w:t>
      </w:r>
      <w:r>
        <w:rPr>
          <w:rFonts w:ascii="Arial" w:hAnsi="Arial" w:eastAsia="微软雅黑"/>
          <w:b/>
          <w:bCs/>
          <w:color w:val="1A2B3C"/>
          <w:sz w:val="22"/>
          <w:szCs w:val="22"/>
        </w:rPr>
        <w:t>all four IRS technique groups</w:t>
      </w:r>
      <w:r>
        <w:rPr>
          <w:rFonts w:ascii="Arial" w:hAnsi="Arial" w:eastAsia="微软雅黑"/>
          <w:color w:val="1A2B3C"/>
          <w:sz w:val="22"/>
          <w:szCs w:val="22"/>
        </w:rPr>
        <w:t>, against a requirement of three. By 25 October, we will complete integrated acceptance and failure-state checks, reproduce the system in a clean environment, and deliver the two videos.</w:t>
      </w:r>
    </w:p>
    <w:p w14:paraId="1F829A37">
      <w:pPr>
        <w:spacing w:before="0" w:after="120" w:line="300" w:lineRule="auto"/>
        <w:ind w:left="140" w:right="0" w:firstLine="0"/>
      </w:pPr>
      <w:r>
        <w:rPr>
          <w:rFonts w:ascii="Arial" w:hAnsi="Arial" w:eastAsia="微软雅黑"/>
          <w:color w:val="1A2B3C"/>
          <w:sz w:val="22"/>
          <w:szCs w:val="22"/>
        </w:rPr>
        <w:t xml:space="preserve">This prototype does </w:t>
      </w:r>
      <w:r>
        <w:rPr>
          <w:rFonts w:ascii="Arial" w:hAnsi="Arial" w:eastAsia="微软雅黑"/>
          <w:b/>
          <w:bCs/>
          <w:color w:val="1A2B3C"/>
          <w:sz w:val="22"/>
          <w:szCs w:val="22"/>
        </w:rPr>
        <w:t>not</w:t>
      </w:r>
      <w:r>
        <w:rPr>
          <w:rFonts w:ascii="Arial" w:hAnsi="Arial" w:eastAsia="微软雅黑"/>
          <w:color w:val="1A2B3C"/>
          <w:sz w:val="22"/>
          <w:szCs w:val="22"/>
        </w:rPr>
        <w:t xml:space="preserve"> replace the quality lead's approval and does </w:t>
      </w:r>
      <w:r>
        <w:rPr>
          <w:rFonts w:ascii="Arial" w:hAnsi="Arial" w:eastAsia="微软雅黑"/>
          <w:b/>
          <w:bCs/>
          <w:color w:val="1A2B3C"/>
          <w:sz w:val="22"/>
          <w:szCs w:val="22"/>
        </w:rPr>
        <w:t>not</w:t>
      </w:r>
      <w:r>
        <w:rPr>
          <w:rFonts w:ascii="Arial" w:hAnsi="Arial" w:eastAsia="微软雅黑"/>
          <w:color w:val="1A2B3C"/>
          <w:sz w:val="22"/>
          <w:szCs w:val="22"/>
        </w:rPr>
        <w:t xml:space="preserve"> authorise real product release, destruction or transport. Thank you. We are happy to take questions. </w:t>
      </w:r>
      <w:r>
        <w:rPr>
          <w:rFonts w:ascii="微软雅黑" w:hAnsi="微软雅黑" w:eastAsia="微软雅黑"/>
          <w:i/>
          <w:iCs/>
          <w:color w:val="1A2B3C"/>
          <w:sz w:val="22"/>
          <w:szCs w:val="22"/>
        </w:rPr>
        <w:t>(四人一起站到台前)</w:t>
      </w:r>
    </w:p>
    <w:p w14:paraId="248B3DC9">
      <w:r>
        <w:br w:type="page"/>
      </w:r>
    </w:p>
    <w:p w14:paraId="4C6E6D7D">
      <w:pPr>
        <w:keepNext/>
        <w:spacing w:before="120" w:after="160" w:line="288" w:lineRule="auto"/>
      </w:pPr>
      <w:r>
        <w:rPr>
          <w:rFonts w:ascii="微软雅黑" w:hAnsi="微软雅黑" w:eastAsia="微软雅黑"/>
          <w:color w:val="1A2B3C"/>
          <w:sz w:val="32"/>
          <w:szCs w:val="32"/>
        </w:rPr>
        <w:t>附：Q&amp;A 应答卡（谁被问到谁答，括号内为数据出处）</w:t>
      </w:r>
    </w:p>
    <w:p w14:paraId="1244FEAB">
      <w:pPr>
        <w:spacing w:before="0" w:after="120" w:line="300" w:lineRule="auto"/>
        <w:ind w:left="140" w:right="0" w:firstLine="0"/>
      </w:pPr>
      <w:r>
        <w:rPr>
          <w:rFonts w:ascii="微软雅黑" w:hAnsi="微软雅黑" w:eastAsia="微软雅黑"/>
          <w:b/>
          <w:bCs/>
          <w:color w:val="1A2B3C"/>
          <w:sz w:val="22"/>
          <w:szCs w:val="22"/>
        </w:rPr>
        <w:t>完整版见 QA准备-演讲稿配套.md</w:t>
      </w:r>
      <w:r>
        <w:rPr>
          <w:rFonts w:ascii="微软雅黑" w:hAnsi="微软雅黑" w:eastAsia="微软雅黑"/>
          <w:color w:val="1A2B3C"/>
          <w:sz w:val="22"/>
          <w:szCs w:val="22"/>
        </w:rPr>
        <w:t>：40+ 问，含英文答句、易错口径、出处，以及上台前 60 秒数字自检与四人分工。下面这 10 问最可能在现场出现。</w:t>
      </w:r>
    </w:p>
    <w:p w14:paraId="59318CF3">
      <w:pPr>
        <w:spacing w:before="0" w:after="40" w:line="276" w:lineRule="auto"/>
      </w:pPr>
      <w:r>
        <w:rPr>
          <w:rFonts w:ascii="微软雅黑" w:hAnsi="微软雅黑" w:eastAsia="微软雅黑"/>
          <w:b/>
          <w:bCs/>
          <w:color w:val="1A2B3C"/>
          <w:sz w:val="21"/>
          <w:szCs w:val="21"/>
        </w:rPr>
        <w:t>Q1「94.7% 是不是自己评自己？」</w:t>
      </w:r>
      <w:r>
        <w:rPr>
          <w:rFonts w:ascii="Arial" w:hAnsi="Arial" w:eastAsia="微软雅黑"/>
          <w:color w:val="1A2B3C"/>
          <w:sz w:val="21"/>
          <w:szCs w:val="21"/>
        </w:rPr>
        <w:t>（A / D）</w:t>
      </w:r>
    </w:p>
    <w:p w14:paraId="238F7F08">
      <w:pPr>
        <w:spacing w:before="0" w:after="40" w:line="276" w:lineRule="auto"/>
      </w:pPr>
      <w:r>
        <w:rPr>
          <w:rFonts w:ascii="微软雅黑" w:hAnsi="微软雅黑" w:eastAsia="微软雅黑"/>
          <w:color w:val="1A2B3C"/>
          <w:sz w:val="21"/>
          <w:szCs w:val="21"/>
        </w:rPr>
        <w:t>分三层：单元测试证明实现与冻结规则一致；人工 gold（57 场景、B/C 独立标注 + A 仲裁）证明书面规则与人的判断存在差异；规则的</w:t>
      </w:r>
      <w:r>
        <w:rPr>
          <w:rFonts w:ascii="微软雅黑" w:hAnsi="微软雅黑" w:eastAsia="微软雅黑"/>
          <w:b/>
          <w:bCs/>
          <w:color w:val="1A2B3C"/>
          <w:sz w:val="21"/>
          <w:szCs w:val="21"/>
        </w:rPr>
        <w:t>领域有效性</w:t>
      </w:r>
      <w:r>
        <w:rPr>
          <w:rFonts w:ascii="微软雅黑" w:hAnsi="微软雅黑" w:eastAsia="微软雅黑"/>
          <w:color w:val="1A2B3C"/>
          <w:sz w:val="21"/>
          <w:szCs w:val="21"/>
        </w:rPr>
        <w:t>需要产品稳定性证据或外部复核，我们没做，所以不声称。κ 只有 0.6434，已如实报告。（提案 §8.3）</w:t>
      </w:r>
    </w:p>
    <w:p w14:paraId="3952A03B">
      <w:pPr>
        <w:spacing w:before="0" w:after="40" w:line="276" w:lineRule="auto"/>
      </w:pPr>
      <w:r>
        <w:rPr>
          <w:rFonts w:ascii="微软雅黑" w:hAnsi="微软雅黑" w:eastAsia="微软雅黑"/>
          <w:b/>
          <w:bCs/>
          <w:color w:val="1A2B3C"/>
          <w:sz w:val="21"/>
          <w:szCs w:val="21"/>
        </w:rPr>
        <w:t>Q2「数据是合成的，结论还有意义吗？」</w:t>
      </w:r>
      <w:r>
        <w:rPr>
          <w:rFonts w:ascii="Arial" w:hAnsi="Arial" w:eastAsia="微软雅黑"/>
          <w:color w:val="1A2B3C"/>
          <w:sz w:val="21"/>
          <w:szCs w:val="21"/>
        </w:rPr>
        <w:t>（B）</w:t>
      </w:r>
    </w:p>
    <w:p w14:paraId="570E2529">
      <w:pPr>
        <w:spacing w:before="0" w:after="40" w:line="276" w:lineRule="auto"/>
      </w:pPr>
      <w:r>
        <w:rPr>
          <w:rFonts w:ascii="微软雅黑" w:hAnsi="微软雅黑" w:eastAsia="微软雅黑"/>
          <w:color w:val="1A2B3C"/>
          <w:sz w:val="21"/>
          <w:szCs w:val="21"/>
        </w:rPr>
        <w:t>数据只用于各自任务并逐数据集披露性质：风险与原因实验只描述该数据集；路由用公开基准（c101/c201 在 10 秒内达已发表最优）；新加坡算例用真实 OSM 路网 + 模拟业务，明确不是运营节约的证明。（§7.1、§8.2）</w:t>
      </w:r>
    </w:p>
    <w:p w14:paraId="2DAA3E03">
      <w:pPr>
        <w:spacing w:before="0" w:after="40" w:line="276" w:lineRule="auto"/>
      </w:pPr>
      <w:r>
        <w:rPr>
          <w:rFonts w:ascii="微软雅黑" w:hAnsi="微软雅黑" w:eastAsia="微软雅黑"/>
          <w:b/>
          <w:bCs/>
          <w:color w:val="1A2B3C"/>
          <w:sz w:val="21"/>
          <w:szCs w:val="21"/>
        </w:rPr>
        <w:t>Q3「补发是第五种处置吗？」</w:t>
      </w:r>
      <w:r>
        <w:rPr>
          <w:rFonts w:ascii="微软雅黑" w:hAnsi="微软雅黑" w:eastAsia="微软雅黑"/>
          <w:color w:val="1A2B3C"/>
          <w:sz w:val="21"/>
          <w:szCs w:val="21"/>
        </w:rPr>
        <w:t>（全体）</w:t>
      </w:r>
    </w:p>
    <w:p w14:paraId="23791775">
      <w:pPr>
        <w:spacing w:before="0" w:after="40" w:line="276" w:lineRule="auto"/>
      </w:pPr>
      <w:r>
        <w:rPr>
          <w:rFonts w:ascii="微软雅黑" w:hAnsi="微软雅黑" w:eastAsia="微软雅黑"/>
          <w:color w:val="1A2B3C"/>
          <w:sz w:val="21"/>
          <w:szCs w:val="21"/>
        </w:rPr>
        <w:t>不是。处置恒为四类；</w:t>
      </w:r>
      <w:r>
        <w:rPr>
          <w:rFonts w:ascii="Consolas" w:hAnsi="Consolas" w:eastAsia="Consolas"/>
          <w:color w:val="334155"/>
          <w:sz w:val="19"/>
          <w:szCs w:val="19"/>
        </w:rPr>
        <w:t>reshipment_required</w:t>
      </w:r>
      <w:r>
        <w:rPr>
          <w:rFonts w:ascii="微软雅黑" w:hAnsi="微软雅黑" w:eastAsia="微软雅黑"/>
          <w:color w:val="1A2B3C"/>
          <w:sz w:val="21"/>
          <w:szCs w:val="21"/>
        </w:rPr>
        <w:t xml:space="preserve"> 是独立标志，补发是独立物流动作。（§1、§6.2）</w:t>
      </w:r>
    </w:p>
    <w:p w14:paraId="4A16D7CF">
      <w:pPr>
        <w:spacing w:before="0" w:after="40" w:line="276" w:lineRule="auto"/>
      </w:pPr>
      <w:r>
        <w:rPr>
          <w:rFonts w:ascii="微软雅黑" w:hAnsi="微软雅黑" w:eastAsia="微软雅黑"/>
          <w:b/>
          <w:bCs/>
          <w:color w:val="1A2B3C"/>
          <w:sz w:val="21"/>
          <w:szCs w:val="21"/>
        </w:rPr>
        <w:t>Q4「你们到底交付了什么？」</w:t>
      </w:r>
      <w:r>
        <w:rPr>
          <w:rFonts w:ascii="Arial" w:hAnsi="Arial" w:eastAsia="微软雅黑"/>
          <w:color w:val="1A2B3C"/>
          <w:sz w:val="21"/>
          <w:szCs w:val="21"/>
        </w:rPr>
        <w:t>（C / D）</w:t>
      </w:r>
    </w:p>
    <w:p w14:paraId="3C7DDC05">
      <w:pPr>
        <w:spacing w:before="0" w:after="40" w:line="276" w:lineRule="auto"/>
      </w:pPr>
      <w:r>
        <w:rPr>
          <w:rFonts w:ascii="微软雅黑" w:hAnsi="微软雅黑" w:eastAsia="微软雅黑"/>
          <w:color w:val="1A2B3C"/>
          <w:sz w:val="21"/>
          <w:szCs w:val="21"/>
        </w:rPr>
        <w:t>必交：4 个原型类别配置、四类处置与独立补发语义、单仓新加坡模拟配送、规则→补发单→路线连接、真实 KG 查询接线到前端、案例关联记录、独立规则评估与离线实验、中英双语界面与复现说明。</w:t>
      </w:r>
      <w:r>
        <w:rPr>
          <w:rFonts w:ascii="微软雅黑" w:hAnsi="微软雅黑" w:eastAsia="微软雅黑"/>
          <w:b/>
          <w:bCs/>
          <w:color w:val="1A2B3C"/>
          <w:sz w:val="21"/>
          <w:szCs w:val="21"/>
        </w:rPr>
        <w:t>稳定的仓库指标</w:t>
      </w:r>
      <w:r>
        <w:rPr>
          <w:rFonts w:ascii="微软雅黑" w:hAnsi="微软雅黑" w:eastAsia="微软雅黑"/>
          <w:color w:val="1A2B3C"/>
          <w:sz w:val="21"/>
          <w:szCs w:val="21"/>
        </w:rPr>
        <w:t>：23 条 API 路径／24 个操作（dispatch 15 路径／16 操作）、305 个测试函数分布在 34 个测试文件。PPT 上的 25 条归档案例和 56 条调度记录是 9 月 27 日运行时快照，不是永久代码指标。（§9 ＋ 2026-09-28 实测）</w:t>
      </w:r>
    </w:p>
    <w:p w14:paraId="10B0C579">
      <w:pPr>
        <w:spacing w:before="0" w:after="40" w:line="276" w:lineRule="auto"/>
      </w:pPr>
      <w:r>
        <w:rPr>
          <w:rFonts w:ascii="微软雅黑" w:hAnsi="微软雅黑" w:eastAsia="微软雅黑"/>
          <w:b/>
          <w:bCs/>
          <w:color w:val="1A2B3C"/>
          <w:sz w:val="21"/>
          <w:szCs w:val="21"/>
        </w:rPr>
        <w:t>Q5「为什么不用大模型？」</w:t>
      </w:r>
      <w:r>
        <w:rPr>
          <w:rFonts w:ascii="Arial" w:hAnsi="Arial" w:eastAsia="微软雅黑"/>
          <w:color w:val="1A2B3C"/>
          <w:sz w:val="21"/>
          <w:szCs w:val="21"/>
        </w:rPr>
        <w:t>（A / D）</w:t>
      </w:r>
    </w:p>
    <w:p w14:paraId="364FC7BD">
      <w:pPr>
        <w:spacing w:before="0" w:after="40" w:line="276" w:lineRule="auto"/>
      </w:pPr>
      <w:r>
        <w:rPr>
          <w:rFonts w:ascii="微软雅黑" w:hAnsi="微软雅黑" w:eastAsia="微软雅黑"/>
          <w:color w:val="1A2B3C"/>
          <w:sz w:val="21"/>
          <w:szCs w:val="21"/>
        </w:rPr>
        <w:t>在线处置建议必须可检查、可引用、可审计，所以语义来源是确定性规则引擎；</w:t>
      </w:r>
      <w:r>
        <w:rPr>
          <w:rFonts w:ascii="Consolas" w:hAnsi="Consolas" w:eastAsia="Consolas"/>
          <w:color w:val="334155"/>
          <w:sz w:val="19"/>
          <w:szCs w:val="19"/>
        </w:rPr>
        <w:t>/api/qa</w:t>
      </w:r>
      <w:r>
        <w:rPr>
          <w:rFonts w:ascii="微软雅黑" w:hAnsi="微软雅黑" w:eastAsia="微软雅黑"/>
          <w:color w:val="1A2B3C"/>
          <w:sz w:val="21"/>
          <w:szCs w:val="21"/>
        </w:rPr>
        <w:t xml:space="preserve"> 是参数化 Cypher ＋ 受限问句路由，不是自由文本生成。LLM 不在 MVP 必需范围内。（§6.2、§6.5）</w:t>
      </w:r>
    </w:p>
    <w:p w14:paraId="1E00E582">
      <w:pPr>
        <w:spacing w:before="0" w:after="40" w:line="276" w:lineRule="auto"/>
      </w:pPr>
      <w:r>
        <w:rPr>
          <w:rFonts w:ascii="微软雅黑" w:hAnsi="微软雅黑" w:eastAsia="微软雅黑"/>
          <w:b/>
          <w:bCs/>
          <w:color w:val="1A2B3C"/>
          <w:sz w:val="21"/>
          <w:szCs w:val="21"/>
        </w:rPr>
        <w:t>Q6「多温区、碳排、遗传算法呢？」</w:t>
      </w:r>
      <w:r>
        <w:rPr>
          <w:rFonts w:ascii="Arial" w:hAnsi="Arial" w:eastAsia="微软雅黑"/>
          <w:color w:val="1A2B3C"/>
          <w:sz w:val="21"/>
          <w:szCs w:val="21"/>
        </w:rPr>
        <w:t>（C）</w:t>
      </w:r>
    </w:p>
    <w:p w14:paraId="637A0605">
      <w:pPr>
        <w:spacing w:before="0" w:after="40" w:line="276" w:lineRule="auto"/>
      </w:pPr>
      <w:r>
        <w:rPr>
          <w:rFonts w:ascii="微软雅黑" w:hAnsi="微软雅黑" w:eastAsia="微软雅黑"/>
          <w:color w:val="1A2B3C"/>
          <w:sz w:val="21"/>
          <w:szCs w:val="21"/>
        </w:rPr>
        <w:t>列为</w:t>
      </w:r>
      <w:r>
        <w:rPr>
          <w:rFonts w:ascii="微软雅黑" w:hAnsi="微软雅黑" w:eastAsia="微软雅黑"/>
          <w:b/>
          <w:bCs/>
          <w:color w:val="1A2B3C"/>
          <w:sz w:val="21"/>
          <w:szCs w:val="21"/>
        </w:rPr>
        <w:t>可选扩展</w:t>
      </w:r>
      <w:r>
        <w:rPr>
          <w:rFonts w:ascii="微软雅黑" w:hAnsi="微软雅黑" w:eastAsia="微软雅黑"/>
          <w:color w:val="1A2B3C"/>
          <w:sz w:val="21"/>
          <w:szCs w:val="21"/>
        </w:rPr>
        <w:t>，以主链验收为前提；遗传算法已实现但只追平 OR-Tools、未超过，因此不作必交算法。（§6.4、§9）</w:t>
      </w:r>
    </w:p>
    <w:p w14:paraId="2EE97220">
      <w:pPr>
        <w:spacing w:before="0" w:after="40" w:line="276" w:lineRule="auto"/>
      </w:pPr>
      <w:r>
        <w:rPr>
          <w:rFonts w:ascii="微软雅黑" w:hAnsi="微软雅黑" w:eastAsia="微软雅黑"/>
          <w:b/>
          <w:bCs/>
          <w:color w:val="1A2B3C"/>
          <w:sz w:val="21"/>
          <w:szCs w:val="21"/>
        </w:rPr>
        <w:t>Q7（最容易被抓）「提交件写 39/57，为什么现在说 54/57？」</w:t>
      </w:r>
      <w:r>
        <w:rPr>
          <w:rFonts w:ascii="Arial" w:hAnsi="Arial" w:eastAsia="微软雅黑"/>
          <w:color w:val="1A2B3C"/>
          <w:sz w:val="21"/>
          <w:szCs w:val="21"/>
        </w:rPr>
        <w:t>（A / D）</w:t>
      </w:r>
    </w:p>
    <w:p w14:paraId="5DE94807">
      <w:pPr>
        <w:spacing w:before="0" w:after="40" w:line="276" w:lineRule="auto"/>
      </w:pPr>
      <w:r>
        <w:rPr>
          <w:rFonts w:ascii="微软雅黑" w:hAnsi="微软雅黑" w:eastAsia="微软雅黑"/>
          <w:color w:val="1A2B3C"/>
          <w:sz w:val="21"/>
          <w:szCs w:val="21"/>
        </w:rPr>
        <w:t xml:space="preserve">提交后 rubric v1.1（9/14）把规则 4 的「隔离/报废二选一」定为 </w:t>
      </w:r>
      <w:r>
        <w:rPr>
          <w:rFonts w:ascii="Consolas" w:hAnsi="Consolas" w:eastAsia="Consolas"/>
          <w:color w:val="334155"/>
          <w:sz w:val="19"/>
          <w:szCs w:val="19"/>
        </w:rPr>
        <w:t>scrap</w:t>
      </w:r>
      <w:r>
        <w:rPr>
          <w:rFonts w:ascii="微软雅黑" w:hAnsi="微软雅黑" w:eastAsia="微软雅黑"/>
          <w:color w:val="1A2B3C"/>
          <w:sz w:val="21"/>
          <w:szCs w:val="21"/>
        </w:rPr>
        <w:t>，rubric、引擎与冻结测试同批更新，差异从 15 条降到 3 条（S034/S035/S052）；残留 3 条 gold 侧均为隔离、引擎分别给放行／放行／复检，低温条证据缺口仍开放。</w:t>
      </w:r>
      <w:r>
        <w:rPr>
          <w:rFonts w:ascii="微软雅黑" w:hAnsi="微软雅黑" w:eastAsia="微软雅黑"/>
          <w:b/>
          <w:bCs/>
          <w:color w:val="1A2B3C"/>
          <w:sz w:val="21"/>
          <w:szCs w:val="21"/>
        </w:rPr>
        <w:t>两个数字与两个版本都报告。</w:t>
      </w:r>
    </w:p>
    <w:p w14:paraId="41FA4DE4">
      <w:pPr>
        <w:spacing w:before="0" w:after="40" w:line="276" w:lineRule="auto"/>
      </w:pPr>
      <w:r>
        <w:rPr>
          <w:rFonts w:ascii="微软雅黑" w:hAnsi="微软雅黑" w:eastAsia="微软雅黑"/>
          <w:b/>
          <w:bCs/>
          <w:color w:val="1A2B3C"/>
          <w:sz w:val="21"/>
          <w:szCs w:val="21"/>
        </w:rPr>
        <w:t>Q9「市面上已经有 Controlant 这类平台，你们差在哪？」</w:t>
      </w:r>
      <w:r>
        <w:rPr>
          <w:rFonts w:ascii="Arial" w:hAnsi="Arial" w:eastAsia="微软雅黑"/>
          <w:color w:val="1A2B3C"/>
          <w:sz w:val="21"/>
          <w:szCs w:val="21"/>
        </w:rPr>
        <w:t>（B）</w:t>
      </w:r>
    </w:p>
    <w:p w14:paraId="6FA4A8F2">
      <w:pPr>
        <w:spacing w:before="0" w:after="40" w:line="276" w:lineRule="auto"/>
      </w:pPr>
      <w:r>
        <w:rPr>
          <w:rFonts w:ascii="微软雅黑" w:hAnsi="微软雅黑" w:eastAsia="微软雅黑"/>
          <w:color w:val="1A2B3C"/>
          <w:sz w:val="21"/>
          <w:szCs w:val="21"/>
        </w:rPr>
        <w:t>不声称首创。商业产品已做温度监控与部分质量流程自动化（提案 §3.3 举了 Controlant 的 Product Stability Automation，按稳定性档案定放行状态）；我们的增量是</w:t>
      </w:r>
      <w:r>
        <w:rPr>
          <w:rFonts w:ascii="微软雅黑" w:hAnsi="微软雅黑" w:eastAsia="微软雅黑"/>
          <w:b/>
          <w:bCs/>
          <w:color w:val="1A2B3C"/>
          <w:sz w:val="21"/>
          <w:szCs w:val="21"/>
        </w:rPr>
        <w:t>同一案件内</w:t>
      </w:r>
      <w:r>
        <w:rPr>
          <w:rFonts w:ascii="微软雅黑" w:hAnsi="微软雅黑" w:eastAsia="微软雅黑"/>
          <w:color w:val="1A2B3C"/>
          <w:sz w:val="21"/>
          <w:szCs w:val="21"/>
        </w:rPr>
        <w:t>处置→补发单→路线→法规证据的可检查链条，以及可复现的离线评估。未核实的竞品能力记为 unknown，不当作「它做不到」。（§3.3）</w:t>
      </w:r>
    </w:p>
    <w:p w14:paraId="08C89C59">
      <w:pPr>
        <w:spacing w:before="0" w:after="40" w:line="276" w:lineRule="auto"/>
      </w:pPr>
      <w:r>
        <w:rPr>
          <w:rFonts w:ascii="微软雅黑" w:hAnsi="微软雅黑" w:eastAsia="微软雅黑"/>
          <w:b/>
          <w:bCs/>
          <w:color w:val="1A2B3C"/>
          <w:sz w:val="21"/>
          <w:szCs w:val="21"/>
        </w:rPr>
        <w:t>Q10「求解器到底怎么配的？是 CP-SAT 吗？」</w:t>
      </w:r>
      <w:r>
        <w:rPr>
          <w:rFonts w:ascii="Arial" w:hAnsi="Arial" w:eastAsia="微软雅黑"/>
          <w:color w:val="1A2B3C"/>
          <w:sz w:val="21"/>
          <w:szCs w:val="21"/>
        </w:rPr>
        <w:t>（C）</w:t>
      </w:r>
    </w:p>
    <w:p w14:paraId="79922BF3">
      <w:pPr>
        <w:spacing w:before="0" w:after="40" w:line="276" w:lineRule="auto"/>
      </w:pPr>
      <w:r>
        <w:rPr>
          <w:rFonts w:ascii="微软雅黑" w:hAnsi="微软雅黑" w:eastAsia="微软雅黑"/>
          <w:color w:val="1A2B3C"/>
          <w:sz w:val="21"/>
          <w:szCs w:val="21"/>
        </w:rPr>
        <w:t>不是 CP-SAT。</w:t>
      </w:r>
      <w:r>
        <w:rPr>
          <w:rFonts w:ascii="Consolas" w:hAnsi="Consolas" w:eastAsia="Consolas"/>
          <w:color w:val="334155"/>
          <w:sz w:val="19"/>
          <w:szCs w:val="19"/>
        </w:rPr>
        <w:t>RoutingModel</w:t>
      </w:r>
      <w:r>
        <w:rPr>
          <w:rFonts w:ascii="Arial" w:hAnsi="Arial" w:eastAsia="微软雅黑"/>
          <w:color w:val="1A2B3C"/>
          <w:sz w:val="21"/>
          <w:szCs w:val="21"/>
        </w:rPr>
        <w:t xml:space="preserve"> + </w:t>
      </w:r>
      <w:r>
        <w:rPr>
          <w:rFonts w:ascii="Consolas" w:hAnsi="Consolas" w:eastAsia="Consolas"/>
          <w:color w:val="334155"/>
          <w:sz w:val="19"/>
          <w:szCs w:val="19"/>
        </w:rPr>
        <w:t>GUIDED_LOCAL_SEARCH</w:t>
      </w:r>
      <w:r>
        <w:rPr>
          <w:rFonts w:ascii="微软雅黑" w:hAnsi="微软雅黑" w:eastAsia="微软雅黑"/>
          <w:color w:val="1A2B3C"/>
          <w:sz w:val="21"/>
          <w:szCs w:val="21"/>
        </w:rPr>
        <w:t xml:space="preserve">；报出的 Solomon／新加坡结果用的是 </w:t>
      </w:r>
      <w:r>
        <w:rPr>
          <w:rFonts w:ascii="微软雅黑" w:hAnsi="微软雅黑" w:eastAsia="微软雅黑"/>
          <w:b/>
          <w:bCs/>
          <w:color w:val="1A2B3C"/>
          <w:sz w:val="21"/>
          <w:szCs w:val="21"/>
        </w:rPr>
        <w:t>`PARALLEL_CHEAPEST_INSERTION` 首解</w:t>
      </w:r>
      <w:r>
        <w:rPr>
          <w:rFonts w:ascii="微软雅黑" w:hAnsi="微软雅黑" w:eastAsia="微软雅黑"/>
          <w:color w:val="1A2B3C"/>
          <w:sz w:val="21"/>
          <w:szCs w:val="21"/>
        </w:rPr>
        <w:t xml:space="preserve">——默认的 </w:t>
      </w:r>
      <w:r>
        <w:rPr>
          <w:rFonts w:ascii="Consolas" w:hAnsi="Consolas" w:eastAsia="Consolas"/>
          <w:color w:val="334155"/>
          <w:sz w:val="19"/>
          <w:szCs w:val="19"/>
        </w:rPr>
        <w:t>PATH_CHEAPEST_ARC</w:t>
      </w:r>
      <w:r>
        <w:rPr>
          <w:rFonts w:ascii="微软雅黑" w:hAnsi="微软雅黑" w:eastAsia="微软雅黑"/>
          <w:color w:val="1A2B3C"/>
          <w:sz w:val="21"/>
          <w:szCs w:val="21"/>
        </w:rPr>
        <w:t xml:space="preserve"> 在 r101/rc101 上构造不出可行首解、各时限均返回空解，这是构造失败而不是时间不足（</w:t>
      </w:r>
      <w:r>
        <w:rPr>
          <w:rFonts w:ascii="Consolas" w:hAnsi="Consolas" w:eastAsia="Consolas"/>
          <w:color w:val="334155"/>
          <w:sz w:val="19"/>
          <w:szCs w:val="19"/>
        </w:rPr>
        <w:t>data/processed/routing_comparison.md</w:t>
      </w:r>
      <w:r>
        <w:rPr>
          <w:rFonts w:ascii="微软雅黑" w:hAnsi="微软雅黑" w:eastAsia="微软雅黑"/>
          <w:color w:val="1A2B3C"/>
          <w:sz w:val="21"/>
          <w:szCs w:val="21"/>
        </w:rPr>
        <w:t xml:space="preserve"> §口径、</w:t>
      </w:r>
      <w:r>
        <w:rPr>
          <w:rFonts w:ascii="微软雅黑" w:hAnsi="微软雅黑" w:eastAsia="微软雅黑"/>
          <w:color w:val="334155"/>
          <w:sz w:val="19"/>
          <w:szCs w:val="19"/>
        </w:rPr>
        <w:t>docs/C_配送模块.md</w:t>
      </w:r>
      <w:r>
        <w:rPr>
          <w:rFonts w:ascii="微软雅黑" w:hAnsi="微软雅黑" w:eastAsia="微软雅黑"/>
          <w:color w:val="1A2B3C"/>
          <w:sz w:val="21"/>
          <w:szCs w:val="21"/>
        </w:rPr>
        <w:t xml:space="preserve"> §5 A2）。这正好是我们的「技术挑战及如何解决」。</w:t>
      </w:r>
    </w:p>
    <w:p w14:paraId="5F3D4F4D">
      <w:pPr>
        <w:spacing w:before="0" w:after="40" w:line="276" w:lineRule="auto"/>
      </w:pPr>
      <w:r>
        <w:rPr>
          <w:rFonts w:ascii="微软雅黑" w:hAnsi="微软雅黑" w:eastAsia="微软雅黑"/>
          <w:b/>
          <w:bCs/>
          <w:color w:val="1A2B3C"/>
          <w:sz w:val="21"/>
          <w:szCs w:val="21"/>
        </w:rPr>
        <w:t>Q8「前端能演示吗？」</w:t>
      </w:r>
      <w:r>
        <w:rPr>
          <w:rFonts w:ascii="Arial" w:hAnsi="Arial" w:eastAsia="微软雅黑"/>
          <w:color w:val="1A2B3C"/>
          <w:sz w:val="21"/>
          <w:szCs w:val="21"/>
        </w:rPr>
        <w:t>（D）</w:t>
      </w:r>
    </w:p>
    <w:p w14:paraId="7B82C370">
      <w:pPr>
        <w:spacing w:before="0" w:after="40" w:line="276" w:lineRule="auto"/>
      </w:pPr>
      <w:r>
        <w:rPr>
          <w:rFonts w:ascii="微软雅黑" w:hAnsi="微软雅黑" w:eastAsia="微软雅黑"/>
          <w:color w:val="1A2B3C"/>
          <w:sz w:val="21"/>
          <w:szCs w:val="21"/>
        </w:rPr>
        <w:t xml:space="preserve">可以，按这个顺序：起后端 → 开 </w:t>
      </w:r>
      <w:r>
        <w:rPr>
          <w:rFonts w:ascii="Consolas" w:hAnsi="Consolas" w:eastAsia="Consolas"/>
          <w:color w:val="334155"/>
          <w:sz w:val="19"/>
          <w:szCs w:val="19"/>
        </w:rPr>
        <w:t>?api=</w:t>
      </w:r>
      <w:r>
        <w:rPr>
          <w:rFonts w:ascii="微软雅黑" w:hAnsi="微软雅黑" w:eastAsia="微软雅黑"/>
          <w:color w:val="1A2B3C"/>
          <w:sz w:val="21"/>
          <w:szCs w:val="21"/>
        </w:rPr>
        <w:t xml:space="preserve"> → 从已结案案例点开决策沙盒 → 生成今日批次并确认（确认即自动发车）→ 预览分支候选（哪辆车顺路、加几站、几点到）→ 提交进实时作业（预留库存＋分配车辆）→ 地图看模拟时钟推进。已知未完成：结案表单未传异常地点、重复结案未去重、候选目的地池待扩充。（</w:t>
      </w:r>
      <w:r>
        <w:rPr>
          <w:rFonts w:ascii="微软雅黑" w:hAnsi="微软雅黑" w:eastAsia="微软雅黑"/>
          <w:color w:val="334155"/>
          <w:sz w:val="19"/>
          <w:szCs w:val="19"/>
        </w:rPr>
        <w:t>proposal/提案-PPT-前端一致性核查.md</w:t>
      </w:r>
      <w:r>
        <w:rPr>
          <w:rFonts w:ascii="Arial" w:hAnsi="Arial" w:eastAsia="微软雅黑"/>
          <w:color w:val="1A2B3C"/>
          <w:sz w:val="21"/>
          <w:szCs w:val="21"/>
        </w:rPr>
        <w:t>；</w:t>
      </w:r>
      <w:r>
        <w:rPr>
          <w:rFonts w:ascii="Consolas" w:hAnsi="Consolas" w:eastAsia="Consolas"/>
          <w:color w:val="334155"/>
          <w:sz w:val="19"/>
          <w:szCs w:val="19"/>
        </w:rPr>
        <w:t>docs/</w:t>
      </w:r>
      <w:r>
        <w:rPr>
          <w:rFonts w:ascii="微软雅黑" w:hAnsi="微软雅黑" w:eastAsia="微软雅黑"/>
          <w:color w:val="1A2B3C"/>
          <w:sz w:val="21"/>
          <w:szCs w:val="21"/>
        </w:rPr>
        <w:t xml:space="preserve"> 下另有前端逐条取证报告）</w:t>
      </w:r>
    </w:p>
    <w:p w14:paraId="136B87F5">
      <w:pPr>
        <w:keepNext/>
        <w:spacing w:before="180" w:after="100" w:line="288" w:lineRule="auto"/>
      </w:pPr>
      <w:r>
        <w:rPr>
          <w:rFonts w:ascii="微软雅黑" w:hAnsi="微软雅黑" w:eastAsia="微软雅黑"/>
          <w:b/>
          <w:bCs/>
          <w:color w:val="0D9488"/>
          <w:sz w:val="25"/>
          <w:szCs w:val="25"/>
        </w:rPr>
        <w:t>时间不够时的删减顺序（按此顺序砍）</w:t>
      </w:r>
    </w:p>
    <w:p w14:paraId="4531038A">
      <w:pPr>
        <w:spacing w:before="0" w:after="60" w:line="276" w:lineRule="auto"/>
        <w:ind w:left="340" w:right="0" w:hanging="180"/>
      </w:pPr>
      <w:r>
        <w:rPr>
          <w:rFonts w:ascii="微软雅黑" w:hAnsi="微软雅黑" w:eastAsia="微软雅黑"/>
          <w:b/>
          <w:bCs/>
          <w:color w:val="1A2B3C"/>
          <w:sz w:val="21"/>
          <w:szCs w:val="21"/>
        </w:rPr>
        <w:t>P8 的风险模型那句</w:t>
      </w:r>
      <w:r>
        <w:rPr>
          <w:rFonts w:ascii="微软雅黑" w:hAnsi="微软雅黑" w:eastAsia="微软雅黑"/>
          <w:color w:val="1A2B3C"/>
          <w:sz w:val="21"/>
          <w:szCs w:val="21"/>
        </w:rPr>
        <w:t>（F1 0.691 / ROC-AUC 0.925 与 Top-1 0.143）→ 省 ~20 秒（</w:t>
      </w:r>
      <w:r>
        <w:rPr>
          <w:rFonts w:ascii="微软雅黑" w:hAnsi="微软雅黑" w:eastAsia="微软雅黑"/>
          <w:b/>
          <w:bCs/>
          <w:color w:val="1A2B3C"/>
          <w:sz w:val="21"/>
          <w:szCs w:val="21"/>
        </w:rPr>
        <w:t>这是可选内容，优先砍</w:t>
      </w:r>
      <w:r>
        <w:rPr>
          <w:rFonts w:ascii="Arial" w:hAnsi="Arial" w:eastAsia="微软雅黑"/>
          <w:color w:val="1A2B3C"/>
          <w:sz w:val="21"/>
          <w:szCs w:val="21"/>
        </w:rPr>
        <w:t>）</w:t>
      </w:r>
    </w:p>
    <w:p w14:paraId="47BF2E4B">
      <w:pPr>
        <w:spacing w:before="0" w:after="60" w:line="276" w:lineRule="auto"/>
        <w:ind w:left="340" w:right="0" w:hanging="180"/>
      </w:pPr>
      <w:r>
        <w:rPr>
          <w:rFonts w:ascii="微软雅黑" w:hAnsi="微软雅黑" w:eastAsia="微软雅黑"/>
          <w:b/>
          <w:bCs/>
          <w:color w:val="1A2B3C"/>
          <w:sz w:val="21"/>
          <w:szCs w:val="21"/>
        </w:rPr>
        <w:t>P7 的技术挑战那句</w:t>
      </w:r>
      <w:r>
        <w:rPr>
          <w:rFonts w:ascii="微软雅黑" w:hAnsi="微软雅黑" w:eastAsia="微软雅黑"/>
          <w:color w:val="1A2B3C"/>
          <w:sz w:val="21"/>
          <w:szCs w:val="21"/>
        </w:rPr>
        <w:t>（首解策略）→ 省 ~15 秒；但这是 guideline 8 明确的「技术挑战及如何解决」，能留就留</w:t>
      </w:r>
    </w:p>
    <w:p w14:paraId="7779C8E1">
      <w:pPr>
        <w:spacing w:before="0" w:after="60" w:line="276" w:lineRule="auto"/>
        <w:ind w:left="340" w:right="0" w:hanging="180"/>
      </w:pPr>
      <w:r>
        <w:rPr>
          <w:rFonts w:ascii="微软雅黑" w:hAnsi="微软雅黑" w:eastAsia="微软雅黑"/>
          <w:b/>
          <w:bCs/>
          <w:color w:val="1A2B3C"/>
          <w:sz w:val="21"/>
          <w:szCs w:val="21"/>
        </w:rPr>
        <w:t>P3 的第三个缺口</w:t>
      </w:r>
      <w:r>
        <w:rPr>
          <w:rFonts w:ascii="微软雅黑" w:hAnsi="微软雅黑" w:eastAsia="微软雅黑"/>
          <w:color w:val="1A2B3C"/>
          <w:sz w:val="21"/>
          <w:szCs w:val="21"/>
        </w:rPr>
        <w:t>（unverifiable / Black-Box AI 卡）→ 省 ~20 秒，但这是我们的定位核心，</w:t>
      </w:r>
      <w:r>
        <w:rPr>
          <w:rFonts w:ascii="微软雅黑" w:hAnsi="微软雅黑" w:eastAsia="微软雅黑"/>
          <w:b/>
          <w:bCs/>
          <w:color w:val="1A2B3C"/>
          <w:sz w:val="21"/>
          <w:szCs w:val="21"/>
        </w:rPr>
        <w:t>尽量别砍</w:t>
      </w:r>
    </w:p>
    <w:p w14:paraId="711CA3EB">
      <w:pPr>
        <w:spacing w:before="0" w:after="60" w:line="276" w:lineRule="auto"/>
        <w:ind w:left="340" w:right="0" w:hanging="180"/>
      </w:pPr>
      <w:r>
        <w:rPr>
          <w:rFonts w:ascii="微软雅黑" w:hAnsi="微软雅黑" w:eastAsia="微软雅黑"/>
          <w:b/>
          <w:bCs/>
          <w:color w:val="1A2B3C"/>
          <w:sz w:val="21"/>
          <w:szCs w:val="21"/>
        </w:rPr>
        <w:t>P5 的定位页</w:t>
      </w:r>
      <w:r>
        <w:rPr>
          <w:rFonts w:ascii="微软雅黑" w:hAnsi="微软雅黑" w:eastAsia="微软雅黑"/>
          <w:color w:val="1A2B3C"/>
          <w:sz w:val="21"/>
          <w:szCs w:val="21"/>
        </w:rPr>
        <w:t xml:space="preserve"> → 全场唯一满足 guideline 4（文献／市场）的内容，</w:t>
      </w:r>
      <w:r>
        <w:rPr>
          <w:rFonts w:ascii="微软雅黑" w:hAnsi="微软雅黑" w:eastAsia="微软雅黑"/>
          <w:b/>
          <w:bCs/>
          <w:color w:val="1A2B3C"/>
          <w:sz w:val="21"/>
          <w:szCs w:val="21"/>
        </w:rPr>
        <w:t>不要砍</w:t>
      </w:r>
      <w:r>
        <w:rPr>
          <w:rFonts w:ascii="微软雅黑" w:hAnsi="微软雅黑" w:eastAsia="微软雅黑"/>
          <w:color w:val="1A2B3C"/>
          <w:sz w:val="21"/>
          <w:szCs w:val="21"/>
        </w:rPr>
        <w:t>；真要砍只压第一句的 Controlant 例子（省 ~10 秒）</w:t>
      </w:r>
    </w:p>
    <w:p w14:paraId="579B42F4">
      <w:pPr>
        <w:spacing w:before="0" w:after="60" w:line="276" w:lineRule="auto"/>
        <w:ind w:left="340" w:right="0" w:hanging="180"/>
      </w:pPr>
      <w:r>
        <w:rPr>
          <w:rFonts w:ascii="微软雅黑" w:hAnsi="微软雅黑" w:eastAsia="微软雅黑"/>
          <w:color w:val="1A2B3C"/>
          <w:sz w:val="21"/>
          <w:szCs w:val="21"/>
        </w:rPr>
        <w:t>若</w:t>
      </w:r>
      <w:r>
        <w:rPr>
          <w:rFonts w:ascii="微软雅黑" w:hAnsi="微软雅黑" w:eastAsia="微软雅黑"/>
          <w:b/>
          <w:bCs/>
          <w:color w:val="1A2B3C"/>
          <w:sz w:val="21"/>
          <w:szCs w:val="21"/>
        </w:rPr>
        <w:t>严重</w:t>
      </w:r>
      <w:r>
        <w:rPr>
          <w:rFonts w:ascii="微软雅黑" w:hAnsi="微软雅黑" w:eastAsia="微软雅黑"/>
          <w:color w:val="1A2B3C"/>
          <w:sz w:val="21"/>
          <w:szCs w:val="21"/>
        </w:rPr>
        <w:t>超时：把 P6 数据页并入口头一句「数据是公开的、性质已披露」，整页跳过 → 省 ~55 秒</w:t>
      </w:r>
    </w:p>
    <w:p w14:paraId="7EC7E1C7">
      <w:pPr>
        <w:spacing w:before="0" w:after="120" w:line="300" w:lineRule="auto"/>
        <w:ind w:left="140" w:right="0" w:firstLine="0"/>
      </w:pPr>
      <w:r>
        <w:rPr>
          <w:rFonts w:ascii="微软雅黑" w:hAnsi="微软雅黑" w:eastAsia="微软雅黑"/>
          <w:color w:val="1A2B3C"/>
          <w:sz w:val="22"/>
          <w:szCs w:val="22"/>
        </w:rPr>
        <w:t xml:space="preserve">英文正文与交接约 </w:t>
      </w:r>
      <w:r>
        <w:rPr>
          <w:rFonts w:ascii="微软雅黑" w:hAnsi="微软雅黑" w:eastAsia="微软雅黑"/>
          <w:b/>
          <w:bCs/>
          <w:color w:val="1A2B3C"/>
          <w:sz w:val="22"/>
          <w:szCs w:val="22"/>
        </w:rPr>
        <w:t>1,057 词</w:t>
      </w:r>
      <w:r>
        <w:rPr>
          <w:rFonts w:ascii="微软雅黑" w:hAnsi="微软雅黑" w:eastAsia="微软雅黑"/>
          <w:color w:val="1A2B3C"/>
          <w:sz w:val="22"/>
          <w:szCs w:val="22"/>
        </w:rPr>
        <w:t xml:space="preserve">：150 词/分约 </w:t>
      </w:r>
      <w:r>
        <w:rPr>
          <w:rFonts w:ascii="微软雅黑" w:hAnsi="微软雅黑" w:eastAsia="微软雅黑"/>
          <w:b/>
          <w:bCs/>
          <w:color w:val="1A2B3C"/>
          <w:sz w:val="22"/>
          <w:szCs w:val="22"/>
        </w:rPr>
        <w:t>7.1 分钟</w:t>
      </w:r>
      <w:r>
        <w:rPr>
          <w:rFonts w:ascii="微软雅黑" w:hAnsi="微软雅黑" w:eastAsia="微软雅黑"/>
          <w:color w:val="1A2B3C"/>
          <w:sz w:val="22"/>
          <w:szCs w:val="22"/>
        </w:rPr>
        <w:t xml:space="preserve">，140 词/分约 </w:t>
      </w:r>
      <w:r>
        <w:rPr>
          <w:rFonts w:ascii="微软雅黑" w:hAnsi="微软雅黑" w:eastAsia="微软雅黑"/>
          <w:b/>
          <w:bCs/>
          <w:color w:val="1A2B3C"/>
          <w:sz w:val="22"/>
          <w:szCs w:val="22"/>
        </w:rPr>
        <w:t>7.6 分钟</w:t>
      </w:r>
      <w:r>
        <w:rPr>
          <w:rFonts w:ascii="微软雅黑" w:hAnsi="微软雅黑" w:eastAsia="微软雅黑"/>
          <w:color w:val="1A2B3C"/>
          <w:sz w:val="22"/>
          <w:szCs w:val="22"/>
        </w:rPr>
        <w:t>。正式排练时以每人实际语速为准，10 分钟内需保留至少 1 分钟用于切页、停顿和数字强调。</w:t>
      </w:r>
    </w:p>
    <w:p w14:paraId="6BA72BB3">
      <w:pPr>
        <w:keepNext/>
        <w:spacing w:before="180" w:after="100" w:line="288" w:lineRule="auto"/>
      </w:pPr>
      <w:r>
        <w:rPr>
          <w:rFonts w:ascii="微软雅黑" w:hAnsi="微软雅黑" w:eastAsia="微软雅黑"/>
          <w:b/>
          <w:bCs/>
          <w:color w:val="0D9488"/>
          <w:sz w:val="25"/>
          <w:szCs w:val="25"/>
        </w:rPr>
        <w:t>走位与现场</w:t>
      </w:r>
    </w:p>
    <w:p w14:paraId="09FD328B">
      <w:pPr>
        <w:spacing w:before="0" w:after="60" w:line="276" w:lineRule="auto"/>
        <w:ind w:left="340" w:right="0" w:hanging="180"/>
      </w:pPr>
      <w:r>
        <w:rPr>
          <w:rFonts w:ascii="微软雅黑" w:hAnsi="微软雅黑" w:eastAsia="微软雅黑"/>
          <w:color w:val="1A2B3C"/>
          <w:sz w:val="21"/>
          <w:szCs w:val="21"/>
        </w:rPr>
        <w:t>每人上台先站定、报姓名与负责模块，再切页；交接说一句「我把接下来的…交给 X」。</w:t>
      </w:r>
    </w:p>
    <w:p w14:paraId="40BC1536">
      <w:pPr>
        <w:spacing w:before="0" w:after="60" w:line="276" w:lineRule="auto"/>
        <w:ind w:left="340" w:right="0" w:hanging="180"/>
      </w:pPr>
      <w:r>
        <w:rPr>
          <w:rFonts w:ascii="微软雅黑" w:hAnsi="微软雅黑" w:eastAsia="微软雅黑"/>
          <w:color w:val="1A2B3C"/>
          <w:sz w:val="21"/>
          <w:szCs w:val="21"/>
        </w:rPr>
        <w:t>数字必须说出口：</w:t>
      </w:r>
      <w:r>
        <w:rPr>
          <w:rFonts w:ascii="微软雅黑" w:hAnsi="微软雅黑" w:eastAsia="微软雅黑"/>
          <w:b/>
          <w:bCs/>
          <w:color w:val="1A2B3C"/>
          <w:sz w:val="21"/>
          <w:szCs w:val="21"/>
        </w:rPr>
        <w:t>54/57（94.7%）、κ=0.6434、隔离 0/3、−6.19%、10 秒达最优、305 个测试</w:t>
      </w:r>
      <w:r>
        <w:rPr>
          <w:rFonts w:ascii="Arial" w:hAnsi="Arial" w:eastAsia="微软雅黑"/>
          <w:color w:val="1A2B3C"/>
          <w:sz w:val="21"/>
          <w:szCs w:val="21"/>
        </w:rPr>
        <w:t>。</w:t>
      </w:r>
    </w:p>
    <w:p w14:paraId="372C1A9F">
      <w:pPr>
        <w:spacing w:before="0" w:after="60" w:line="276" w:lineRule="auto"/>
        <w:ind w:left="340" w:right="0" w:hanging="180"/>
      </w:pPr>
      <w:r>
        <w:rPr>
          <w:rFonts w:ascii="微软雅黑" w:hAnsi="微软雅黑" w:eastAsia="微软雅黑"/>
          <w:color w:val="1A2B3C"/>
          <w:sz w:val="21"/>
          <w:szCs w:val="21"/>
        </w:rPr>
        <w:t>字段口径别再混：</w:t>
      </w:r>
      <w:r>
        <w:rPr>
          <w:rFonts w:ascii="微软雅黑" w:hAnsi="微软雅黑" w:eastAsia="微软雅黑"/>
          <w:b/>
          <w:bCs/>
          <w:color w:val="1A2B3C"/>
          <w:sz w:val="21"/>
          <w:szCs w:val="21"/>
        </w:rPr>
        <w:t>23 条 API 路径／24 个操作，dispatch 15 路径／16 操作；305 个测试函数／34 个含测试的文件</w:t>
      </w:r>
      <w:r>
        <w:rPr>
          <w:rFonts w:ascii="微软雅黑" w:hAnsi="微软雅黑" w:eastAsia="微软雅黑"/>
          <w:color w:val="1A2B3C"/>
          <w:sz w:val="21"/>
          <w:szCs w:val="21"/>
        </w:rPr>
        <w:t>（deck 第 7 页与讲稿已同步）。</w:t>
      </w:r>
    </w:p>
    <w:p w14:paraId="0B7F1E42">
      <w:pPr>
        <w:spacing w:before="0" w:after="60" w:line="276" w:lineRule="auto"/>
        <w:ind w:left="340" w:right="0" w:hanging="180"/>
      </w:pPr>
      <w:r>
        <w:rPr>
          <w:rFonts w:ascii="微软雅黑" w:hAnsi="微软雅黑" w:eastAsia="微软雅黑"/>
          <w:color w:val="1A2B3C"/>
          <w:sz w:val="21"/>
          <w:szCs w:val="21"/>
        </w:rPr>
        <w:t>演示环节由 D 操作，A 控时；</w:t>
      </w:r>
      <w:r>
        <w:rPr>
          <w:rFonts w:ascii="微软雅黑" w:hAnsi="微软雅黑" w:eastAsia="微软雅黑"/>
          <w:b/>
          <w:bCs/>
          <w:color w:val="1A2B3C"/>
          <w:sz w:val="21"/>
          <w:szCs w:val="21"/>
        </w:rPr>
        <w:t>必须带 `?api=` 且后端已起</w:t>
      </w:r>
      <w:r>
        <w:rPr>
          <w:rFonts w:ascii="微软雅黑" w:hAnsi="微软雅黑" w:eastAsia="微软雅黑"/>
          <w:color w:val="1A2B3C"/>
          <w:sz w:val="21"/>
          <w:szCs w:val="21"/>
        </w:rPr>
        <w:t>（离线模式点不开决策沙盒），Neo4j 未启则问答返回 503、前端降级为关键词回答。</w:t>
      </w:r>
    </w:p>
    <w:p w14:paraId="6B52FD3F">
      <w:pPr>
        <w:spacing w:before="0" w:after="60" w:line="276" w:lineRule="auto"/>
        <w:ind w:left="340" w:right="0" w:hanging="180"/>
      </w:pPr>
      <w:r>
        <w:rPr>
          <w:rFonts w:ascii="微软雅黑" w:hAnsi="微软雅黑" w:eastAsia="微软雅黑"/>
          <w:color w:val="1A2B3C"/>
          <w:sz w:val="21"/>
          <w:szCs w:val="21"/>
        </w:rPr>
        <w:t xml:space="preserve">地图底图建议先跑 </w:t>
      </w:r>
      <w:r>
        <w:rPr>
          <w:rFonts w:ascii="Consolas" w:hAnsi="Consolas" w:eastAsia="Consolas"/>
          <w:color w:val="334155"/>
          <w:sz w:val="19"/>
          <w:szCs w:val="19"/>
        </w:rPr>
        <w:t>node scripts/fetch_map_tiles.mjs</w:t>
      </w:r>
      <w:r>
        <w:rPr>
          <w:rFonts w:ascii="微软雅黑" w:hAnsi="微软雅黑" w:eastAsia="微软雅黑"/>
          <w:color w:val="1A2B3C"/>
          <w:sz w:val="21"/>
          <w:szCs w:val="21"/>
        </w:rPr>
        <w:t xml:space="preserve"> 缓存到本地，避免现场网络问题。</w:t>
      </w:r>
    </w:p>
    <w:p w14:paraId="649D34B8">
      <w:pPr>
        <w:keepNext/>
        <w:spacing w:before="180" w:after="100" w:line="288" w:lineRule="auto"/>
      </w:pPr>
      <w:r>
        <w:rPr>
          <w:rFonts w:ascii="微软雅黑" w:hAnsi="微软雅黑" w:eastAsia="微软雅黑"/>
          <w:b/>
          <w:bCs/>
          <w:color w:val="0D9488"/>
          <w:sz w:val="25"/>
          <w:szCs w:val="25"/>
        </w:rPr>
        <w:t>口径速查（四人必须一致，被追问时照此答）</w:t>
      </w:r>
    </w:p>
    <w:p w14:paraId="044A5D82">
      <w:pPr>
        <w:spacing w:before="0" w:after="60" w:line="276" w:lineRule="auto"/>
        <w:ind w:left="340" w:right="0" w:hanging="180"/>
      </w:pPr>
      <w:r>
        <w:rPr>
          <w:rFonts w:ascii="微软雅黑" w:hAnsi="微软雅黑" w:eastAsia="微软雅黑"/>
          <w:color w:val="1A2B3C"/>
          <w:sz w:val="21"/>
          <w:szCs w:val="21"/>
        </w:rPr>
        <w:t>处置恒为四类：</w:t>
      </w:r>
      <w:r>
        <w:rPr>
          <w:rFonts w:ascii="Arial" w:hAnsi="Arial" w:eastAsia="微软雅黑"/>
          <w:b/>
          <w:bCs/>
          <w:color w:val="1A2B3C"/>
          <w:sz w:val="21"/>
          <w:szCs w:val="21"/>
        </w:rPr>
        <w:t>release / quarantine / retest / scrap</w:t>
      </w:r>
      <w:r>
        <w:rPr>
          <w:rFonts w:ascii="Arial" w:hAnsi="Arial" w:eastAsia="微软雅黑"/>
          <w:color w:val="1A2B3C"/>
          <w:sz w:val="21"/>
          <w:szCs w:val="21"/>
        </w:rPr>
        <w:t>；</w:t>
      </w:r>
      <w:r>
        <w:rPr>
          <w:rFonts w:ascii="微软雅黑" w:hAnsi="微软雅黑" w:eastAsia="微软雅黑"/>
          <w:b/>
          <w:bCs/>
          <w:color w:val="1A2B3C"/>
          <w:sz w:val="21"/>
          <w:szCs w:val="21"/>
        </w:rPr>
        <w:t>补发是独立物流动作，不是第五类处置</w:t>
      </w:r>
      <w:r>
        <w:rPr>
          <w:rFonts w:ascii="Arial" w:hAnsi="Arial" w:eastAsia="微软雅黑"/>
          <w:color w:val="1A2B3C"/>
          <w:sz w:val="21"/>
          <w:szCs w:val="21"/>
        </w:rPr>
        <w:t>。</w:t>
      </w:r>
    </w:p>
    <w:p w14:paraId="785FFAA2">
      <w:pPr>
        <w:spacing w:before="0" w:after="60" w:line="276" w:lineRule="auto"/>
        <w:ind w:left="340" w:right="0" w:hanging="180"/>
      </w:pPr>
      <w:r>
        <w:rPr>
          <w:rFonts w:ascii="微软雅黑" w:hAnsi="微软雅黑" w:eastAsia="微软雅黑"/>
          <w:color w:val="1A2B3C"/>
          <w:sz w:val="21"/>
          <w:szCs w:val="21"/>
        </w:rPr>
        <w:t>求解器：</w:t>
      </w:r>
      <w:r>
        <w:rPr>
          <w:rFonts w:ascii="微软雅黑" w:hAnsi="微软雅黑" w:eastAsia="微软雅黑"/>
          <w:b/>
          <w:bCs/>
          <w:color w:val="1A2B3C"/>
          <w:sz w:val="21"/>
          <w:szCs w:val="21"/>
        </w:rPr>
        <w:t>OR-Tools RoutingModel + `PARALLEL_CHEAPEST_INSERTION` 首解 + Guided Local Search</w:t>
      </w:r>
      <w:r>
        <w:rPr>
          <w:rFonts w:ascii="Arial" w:hAnsi="Arial" w:eastAsia="微软雅黑"/>
          <w:color w:val="1A2B3C"/>
          <w:sz w:val="21"/>
          <w:szCs w:val="21"/>
        </w:rPr>
        <w:t>，</w:t>
      </w:r>
      <w:r>
        <w:rPr>
          <w:rFonts w:ascii="微软雅黑" w:hAnsi="微软雅黑" w:eastAsia="微软雅黑"/>
          <w:b/>
          <w:bCs/>
          <w:color w:val="1A2B3C"/>
          <w:sz w:val="21"/>
          <w:szCs w:val="21"/>
        </w:rPr>
        <w:t>不是 CP-SAT</w:t>
      </w:r>
      <w:r>
        <w:rPr>
          <w:rFonts w:ascii="Arial" w:hAnsi="Arial" w:eastAsia="微软雅黑"/>
          <w:color w:val="1A2B3C"/>
          <w:sz w:val="21"/>
          <w:szCs w:val="21"/>
        </w:rPr>
        <w:t>（</w:t>
      </w:r>
      <w:r>
        <w:rPr>
          <w:rFonts w:ascii="Consolas" w:hAnsi="Consolas" w:eastAsia="Consolas"/>
          <w:color w:val="334155"/>
          <w:sz w:val="19"/>
          <w:szCs w:val="19"/>
        </w:rPr>
        <w:t>PATH_CHEAPEST_ARC</w:t>
      </w:r>
      <w:r>
        <w:rPr>
          <w:rFonts w:ascii="微软雅黑" w:hAnsi="微软雅黑" w:eastAsia="微软雅黑"/>
          <w:color w:val="1A2B3C"/>
          <w:sz w:val="21"/>
          <w:szCs w:val="21"/>
        </w:rPr>
        <w:t xml:space="preserve"> 只是模块默认值，在 r101/rc101 上构造不出可行首解，报出结果的运行用的是 insertion）。</w:t>
      </w:r>
    </w:p>
    <w:p w14:paraId="6F100B14">
      <w:pPr>
        <w:spacing w:before="0" w:after="60" w:line="276" w:lineRule="auto"/>
        <w:ind w:left="340" w:right="0" w:hanging="180"/>
      </w:pPr>
      <w:r>
        <w:rPr>
          <w:rFonts w:ascii="微软雅黑" w:hAnsi="微软雅黑" w:eastAsia="微软雅黑"/>
          <w:color w:val="1A2B3C"/>
          <w:sz w:val="21"/>
          <w:szCs w:val="21"/>
        </w:rPr>
        <w:t>数据：</w:t>
      </w:r>
      <w:r>
        <w:rPr>
          <w:rFonts w:ascii="微软雅黑" w:hAnsi="微软雅黑" w:eastAsia="微软雅黑"/>
          <w:b/>
          <w:bCs/>
          <w:color w:val="1A2B3C"/>
          <w:sz w:val="21"/>
          <w:szCs w:val="21"/>
        </w:rPr>
        <w:t>疑似合成／仿真</w:t>
      </w:r>
      <w:r>
        <w:rPr>
          <w:rFonts w:ascii="微软雅黑" w:hAnsi="微软雅黑" w:eastAsia="微软雅黑"/>
          <w:color w:val="1A2B3C"/>
          <w:sz w:val="21"/>
          <w:szCs w:val="21"/>
        </w:rPr>
        <w:t>，逐数据集披露性质，不称真实药企数据；新加坡算例是真实 OSM 路网 + 模拟业务，</w:t>
      </w:r>
      <w:r>
        <w:rPr>
          <w:rFonts w:ascii="微软雅黑" w:hAnsi="微软雅黑" w:eastAsia="微软雅黑"/>
          <w:b/>
          <w:bCs/>
          <w:color w:val="1A2B3C"/>
          <w:sz w:val="21"/>
          <w:szCs w:val="21"/>
        </w:rPr>
        <w:t>不证明运营节约</w:t>
      </w:r>
      <w:r>
        <w:rPr>
          <w:rFonts w:ascii="Arial" w:hAnsi="Arial" w:eastAsia="微软雅黑"/>
          <w:color w:val="1A2B3C"/>
          <w:sz w:val="21"/>
          <w:szCs w:val="21"/>
        </w:rPr>
        <w:t>。</w:t>
      </w:r>
    </w:p>
    <w:p w14:paraId="389F258D">
      <w:pPr>
        <w:spacing w:before="0" w:after="60" w:line="276" w:lineRule="auto"/>
        <w:ind w:left="340" w:right="0" w:hanging="180"/>
      </w:pPr>
      <w:r>
        <w:rPr>
          <w:rFonts w:ascii="微软雅黑" w:hAnsi="微软雅黑" w:eastAsia="微软雅黑"/>
          <w:color w:val="1A2B3C"/>
          <w:sz w:val="21"/>
          <w:szCs w:val="21"/>
        </w:rPr>
        <w:t>评测：引擎与人工 gold 一致率</w:t>
      </w:r>
      <w:r>
        <w:rPr>
          <w:rFonts w:ascii="微软雅黑" w:hAnsi="微软雅黑" w:eastAsia="微软雅黑"/>
          <w:b/>
          <w:bCs/>
          <w:color w:val="1A2B3C"/>
          <w:sz w:val="21"/>
          <w:szCs w:val="21"/>
        </w:rPr>
        <w:t>当前 54/57（94.7%，rubric v1.1）</w:t>
      </w:r>
      <w:r>
        <w:rPr>
          <w:rFonts w:ascii="微软雅黑" w:hAnsi="微软雅黑" w:eastAsia="微软雅黑"/>
          <w:color w:val="1A2B3C"/>
          <w:sz w:val="21"/>
          <w:szCs w:val="21"/>
        </w:rPr>
        <w:t>，提交件上是 39/57（rubric v1）——主动说明变化；κ = 0.6434 低于 0.80 目标；隔离召回 0/3（gold 仅 3 条）。</w:t>
      </w:r>
    </w:p>
    <w:p w14:paraId="561B7ACF">
      <w:pPr>
        <w:spacing w:before="0" w:after="60" w:line="276" w:lineRule="auto"/>
        <w:ind w:left="340" w:right="0" w:hanging="180"/>
      </w:pPr>
      <w:r>
        <w:rPr>
          <w:rFonts w:ascii="微软雅黑" w:hAnsi="微软雅黑" w:eastAsia="微软雅黑"/>
          <w:color w:val="1A2B3C"/>
          <w:sz w:val="21"/>
          <w:szCs w:val="21"/>
        </w:rPr>
        <w:t>稳定指标：</w:t>
      </w:r>
      <w:r>
        <w:rPr>
          <w:rFonts w:ascii="微软雅黑" w:hAnsi="微软雅黑" w:eastAsia="微软雅黑"/>
          <w:b/>
          <w:bCs/>
          <w:color w:val="1A2B3C"/>
          <w:sz w:val="21"/>
          <w:szCs w:val="21"/>
        </w:rPr>
        <w:t>23 条 API 路径 / 24 个操作（dispatch 15 路径 / 16 操作）、305 个测试函数分布在 34 个测试文件</w:t>
      </w:r>
      <w:r>
        <w:rPr>
          <w:rFonts w:ascii="微软雅黑" w:hAnsi="微软雅黑" w:eastAsia="微软雅黑"/>
          <w:color w:val="1A2B3C"/>
          <w:sz w:val="21"/>
          <w:szCs w:val="21"/>
        </w:rPr>
        <w:t xml:space="preserve">。PPT 的 </w:t>
      </w:r>
      <w:r>
        <w:rPr>
          <w:rFonts w:ascii="微软雅黑" w:hAnsi="微软雅黑" w:eastAsia="微软雅黑"/>
          <w:b/>
          <w:bCs/>
          <w:color w:val="1A2B3C"/>
          <w:sz w:val="21"/>
          <w:szCs w:val="21"/>
        </w:rPr>
        <w:t>25 条归档案例 / 56 条调度记录</w:t>
      </w:r>
      <w:r>
        <w:rPr>
          <w:rFonts w:ascii="微软雅黑" w:hAnsi="微软雅黑" w:eastAsia="微软雅黑"/>
          <w:color w:val="1A2B3C"/>
          <w:sz w:val="21"/>
          <w:szCs w:val="21"/>
        </w:rPr>
        <w:t>是 9 月 27 日运行时快照，口头必须带日期限定。</w:t>
      </w:r>
    </w:p>
    <w:p w14:paraId="53E6837E">
      <w:pPr>
        <w:spacing w:before="0" w:after="60" w:line="276" w:lineRule="auto"/>
        <w:ind w:left="340" w:right="0" w:hanging="180"/>
      </w:pPr>
      <w:r>
        <w:rPr>
          <w:rFonts w:ascii="微软雅黑" w:hAnsi="微软雅黑" w:eastAsia="微软雅黑"/>
          <w:color w:val="1A2B3C"/>
          <w:sz w:val="21"/>
          <w:szCs w:val="21"/>
        </w:rPr>
        <w:t>边界：不替代质量负责人审批，不授权真实放行／销毁／运输。</w:t>
      </w:r>
    </w:p>
    <w:sectPr>
      <w:pgSz w:w="11906" w:h="16838"/>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微软雅黑">
    <w:altName w:val="方正雅意黑 GB18030L2"/>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7B7553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88" w:lineRule="auto"/>
    </w:pPr>
    <w:rPr>
      <w:rFonts w:ascii="Arial" w:hAnsi="Arial" w:eastAsia="微软雅黑"/>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2026-09-29T00:18:17Z</dcterms:created>
  <dc:creator>Data</dc:creator>
  <cp:lastModifiedBy>余默</cp:lastModifiedBy>
  <dcterms:modified xsi:type="dcterms:W3CDTF">2026-09-29T00:19:55Z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26FEEB9D16FD6B22AB93BA6AD246798A_42</vt:lpwstr>
  </property>
</Properties>
</file>