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00" w:lineRule="auto"/>
        <w:jc w:val="center"/>
      </w:pPr>
      <w:r>
        <w:rPr>
          <w:rFonts w:ascii="Arial" w:hAnsi="Arial" w:eastAsia="微软雅黑"/>
          <w:b/>
          <w:i w:val="0"/>
          <w:color w:val="1F3B66"/>
          <w:sz w:val="36"/>
        </w:rPr>
        <w:t>PharmaColdOps：面向冷链药品的温度异常处置与配送重排智能系统</w:t>
      </w:r>
    </w:p>
    <w:p>
      <w:pPr>
        <w:spacing w:after="120" w:line="300" w:lineRule="auto"/>
        <w:jc w:val="center"/>
      </w:pPr>
      <w:r>
        <w:rPr>
          <w:rFonts w:ascii="Arial" w:hAnsi="Arial" w:eastAsia="微软雅黑"/>
          <w:b/>
          <w:i w:val="0"/>
          <w:color w:val="2E548A"/>
          <w:sz w:val="26"/>
        </w:rPr>
        <w:t>正式项目提案（草稿 v0.2，4 人版）</w:t>
      </w:r>
    </w:p>
    <w:p>
      <w:pPr>
        <w:spacing w:after="160"/>
        <w:jc w:val="center"/>
      </w:pPr>
      <w:r>
        <w:rPr>
          <w:rFonts w:ascii="Arial" w:hAnsi="Arial" w:eastAsia="微软雅黑"/>
          <w:b w:val="0"/>
          <w:i w:val="0"/>
          <w:color w:val="555555"/>
          <w:sz w:val="19"/>
        </w:rPr>
        <w:t xml:space="preserve">项目简称：PharmaColdOps    </w:t>
      </w:r>
      <w:r>
        <w:rPr>
          <w:rFonts w:ascii="Arial" w:hAnsi="Arial" w:eastAsia="微软雅黑"/>
          <w:b w:val="0"/>
          <w:i w:val="0"/>
          <w:color w:val="555555"/>
          <w:sz w:val="19"/>
        </w:rPr>
        <w:t xml:space="preserve">适用课程：IRS Practice Module    </w:t>
      </w:r>
      <w:r>
        <w:rPr>
          <w:rFonts w:ascii="Arial" w:hAnsi="Arial" w:eastAsia="微软雅黑"/>
          <w:b w:val="0"/>
          <w:i w:val="0"/>
          <w:color w:val="555555"/>
          <w:sz w:val="19"/>
        </w:rPr>
        <w:t xml:space="preserve">建议团队规模：4 人，约 10 person-days/人    </w:t>
      </w:r>
      <w:r>
        <w:rPr>
          <w:rFonts w:ascii="Arial" w:hAnsi="Arial" w:eastAsia="微软雅黑"/>
          <w:b w:val="0"/>
          <w:i w:val="0"/>
          <w:color w:val="555555"/>
          <w:sz w:val="19"/>
        </w:rPr>
        <w:t xml:space="preserve">提案截止：2026-09-13    </w:t>
      </w:r>
      <w:r>
        <w:rPr>
          <w:rFonts w:ascii="Arial" w:hAnsi="Arial" w:eastAsia="微软雅黑"/>
          <w:b w:val="0"/>
          <w:i w:val="0"/>
          <w:color w:val="555555"/>
          <w:sz w:val="19"/>
        </w:rPr>
        <w:t xml:space="preserve">最终交付：2026-10-25    </w:t>
      </w:r>
    </w:p>
    <w:p>
      <w:pPr>
        <w:spacing w:before="200" w:after="80"/>
      </w:pPr>
      <w:r>
        <w:rPr>
          <w:rFonts w:ascii="Arial" w:hAnsi="Arial" w:eastAsia="微软雅黑"/>
          <w:b/>
          <w:i w:val="0"/>
          <w:color w:val="1F3B66"/>
          <w:sz w:val="30"/>
        </w:rPr>
        <w:t>一、项目概要</w:t>
      </w:r>
    </w:p>
    <w:p>
      <w:pPr>
        <w:spacing w:after="80" w:line="300" w:lineRule="auto"/>
      </w:pPr>
      <w:r>
        <w:rPr>
          <w:rFonts w:ascii="Arial" w:hAnsi="Arial" w:eastAsia="微软雅黑"/>
          <w:b w:val="0"/>
          <w:i w:val="0"/>
          <w:sz w:val="21"/>
        </w:rPr>
        <w:t>PharmaColdOps 是一个面向冷链药品运输与仓储场景的智能决策支持系统。系统将温度传感器数据、产品稳定性规则、库存与车辆调度能力、知识图谱问答整合为一个闭环：当温度发生超限时，不仅报警，还能给出“放行 / 隔离 / 复验 / 报废 / 补发”的可解释处置建议，并自动生成替代库存调拨与配送重排方案。</w:t>
      </w:r>
    </w:p>
    <w:p>
      <w:pPr>
        <w:spacing w:after="80" w:line="300" w:lineRule="auto"/>
      </w:pPr>
      <w:r>
        <w:rPr>
          <w:rFonts w:ascii="Arial" w:hAnsi="Arial" w:eastAsia="微软雅黑"/>
          <w:b w:val="0"/>
          <w:i w:val="0"/>
          <w:sz w:val="21"/>
        </w:rPr>
        <w:t>本项目同时覆盖四项 IRS 技术组：决策自动化、资源优化、知识发现与数据挖掘、认知系统。相比单一预测或单一规则系统，PharmaColdOps 的核心优势在于“异常处置 + 物流重排 + 可解释审计”完整闭环，实验指标明确、Demo 可展示、商业价值清晰。</w:t>
      </w:r>
    </w:p>
    <w:p>
      <w:pPr>
        <w:spacing w:before="200" w:after="80"/>
      </w:pPr>
      <w:r>
        <w:rPr>
          <w:rFonts w:ascii="Arial" w:hAnsi="Arial" w:eastAsia="微软雅黑"/>
          <w:b/>
          <w:i w:val="0"/>
          <w:color w:val="1F3B66"/>
          <w:sz w:val="30"/>
        </w:rPr>
        <w:t>二、问题定义</w:t>
      </w:r>
    </w:p>
    <w:p>
      <w:pPr>
        <w:spacing w:after="80" w:line="300" w:lineRule="auto"/>
      </w:pPr>
      <w:r>
        <w:rPr>
          <w:rFonts w:ascii="Arial" w:hAnsi="Arial" w:eastAsia="微软雅黑"/>
          <w:b w:val="0"/>
          <w:i w:val="0"/>
          <w:sz w:val="21"/>
        </w:rPr>
        <w:t>冷链药品，如疫苗、生物制品、胰岛素等，对温度高度敏感。运输、仓储、装卸、机场停留等环节一旦发生温度偏差，可能影响药品安全性与有效性。当前主要痛点包括：</w:t>
      </w:r>
    </w:p>
    <w:p>
      <w:pPr>
        <w:pStyle w:val="ListBullet"/>
        <w:spacing w:after="40" w:line="300" w:lineRule="auto"/>
      </w:pPr>
      <w:r>
        <w:rPr>
          <w:rFonts w:ascii="Arial" w:hAnsi="Arial" w:eastAsia="微软雅黑"/>
          <w:b w:val="0"/>
          <w:i w:val="0"/>
          <w:sz w:val="21"/>
        </w:rPr>
        <w:t>温度超限后，放行、隔离、复验还是报废，主要依赖人工经验，口径不一致。</w:t>
      </w:r>
    </w:p>
    <w:p>
      <w:pPr>
        <w:pStyle w:val="ListBullet"/>
        <w:spacing w:after="40" w:line="300" w:lineRule="auto"/>
      </w:pPr>
      <w:r>
        <w:rPr>
          <w:rFonts w:ascii="Arial" w:hAnsi="Arial" w:eastAsia="微软雅黑"/>
          <w:b w:val="0"/>
          <w:i w:val="0"/>
          <w:sz w:val="21"/>
        </w:rPr>
        <w:t>WHO、EU GDP、ICH 等合规要求强调偏差记录、评估、决策与留痕，但现有 Excel 或简单报警系统难以满足审计要求。</w:t>
      </w:r>
    </w:p>
    <w:p>
      <w:pPr>
        <w:pStyle w:val="ListBullet"/>
        <w:spacing w:after="40" w:line="300" w:lineRule="auto"/>
      </w:pPr>
      <w:r>
        <w:rPr>
          <w:rFonts w:ascii="Arial" w:hAnsi="Arial" w:eastAsia="微软雅黑"/>
          <w:b w:val="0"/>
          <w:i w:val="0"/>
          <w:sz w:val="21"/>
        </w:rPr>
        <w:t>异常处置与物流重排相互割裂：系统只报警，不回答“是否停用该批次”“从哪里调替代库存”“新路线如何安排”。</w:t>
      </w:r>
    </w:p>
    <w:p>
      <w:pPr>
        <w:pStyle w:val="ListBullet"/>
        <w:spacing w:after="40" w:line="300" w:lineRule="auto"/>
      </w:pPr>
      <w:r>
        <w:rPr>
          <w:rFonts w:ascii="Arial" w:hAnsi="Arial" w:eastAsia="微软雅黑"/>
          <w:b w:val="0"/>
          <w:i w:val="0"/>
          <w:sz w:val="21"/>
        </w:rPr>
        <w:t>“一刀切”处置容易造成过度报废或不当放行。</w:t>
      </w:r>
    </w:p>
    <w:p>
      <w:pPr>
        <w:pStyle w:val="ListBullet"/>
        <w:spacing w:after="40" w:line="300" w:lineRule="auto"/>
      </w:pPr>
      <w:r>
        <w:rPr>
          <w:rFonts w:ascii="Arial" w:hAnsi="Arial" w:eastAsia="微软雅黑"/>
          <w:b w:val="0"/>
          <w:i w:val="0"/>
          <w:sz w:val="21"/>
        </w:rPr>
        <w:t>黑箱式 AI 判断难以被质量负责人、审计人员采信。</w:t>
      </w:r>
    </w:p>
    <w:p>
      <w:pPr>
        <w:spacing w:after="80" w:line="300" w:lineRule="auto"/>
      </w:pPr>
      <w:r>
        <w:rPr>
          <w:rFonts w:ascii="Arial" w:hAnsi="Arial" w:eastAsia="微软雅黑"/>
          <w:b w:val="0"/>
          <w:i w:val="0"/>
          <w:sz w:val="21"/>
        </w:rPr>
        <w:t>本项目的目标是构建一个可解释、可追溯、可量化评估的智能系统，使温度异常事件能够自动转化为合规处置建议与可执行的配送重排计划。</w:t>
      </w:r>
    </w:p>
    <w:p>
      <w:pPr>
        <w:spacing w:before="200" w:after="80"/>
      </w:pPr>
      <w:r>
        <w:rPr>
          <w:rFonts w:ascii="Arial" w:hAnsi="Arial" w:eastAsia="微软雅黑"/>
          <w:b/>
          <w:i w:val="0"/>
          <w:color w:val="1F3B66"/>
          <w:sz w:val="30"/>
        </w:rPr>
        <w:t>三、背景与领域基础</w:t>
      </w:r>
    </w:p>
    <w:p>
      <w:pPr>
        <w:spacing w:after="80" w:line="300" w:lineRule="auto"/>
      </w:pPr>
      <w:r>
        <w:rPr>
          <w:rFonts w:ascii="Arial" w:hAnsi="Arial" w:eastAsia="微软雅黑"/>
          <w:b w:val="0"/>
          <w:i w:val="0"/>
          <w:sz w:val="21"/>
        </w:rPr>
        <w:t>冷链药品合规管理主要依据以下领域规范：</w:t>
      </w:r>
    </w:p>
    <w:p>
      <w:pPr>
        <w:pStyle w:val="ListBullet"/>
        <w:spacing w:after="40" w:line="300" w:lineRule="auto"/>
      </w:pPr>
      <w:r>
        <w:rPr>
          <w:rFonts w:ascii="Arial" w:hAnsi="Arial" w:eastAsia="微软雅黑"/>
          <w:b w:val="0"/>
          <w:i w:val="0"/>
          <w:sz w:val="21"/>
        </w:rPr>
        <w:t>WHO Model Guidance for the Storage and Transport of Time- and Temperature-Sensitive Pharmaceutical Products，TRS 961 Annex 9。</w:t>
      </w:r>
    </w:p>
    <w:p>
      <w:pPr>
        <w:pStyle w:val="ListBullet"/>
        <w:spacing w:after="40" w:line="300" w:lineRule="auto"/>
      </w:pPr>
      <w:r>
        <w:rPr>
          <w:rFonts w:ascii="Arial" w:hAnsi="Arial" w:eastAsia="微软雅黑"/>
          <w:b w:val="0"/>
          <w:i w:val="0"/>
          <w:sz w:val="21"/>
        </w:rPr>
        <w:t>EU Guidelines on Good Distribution Practice of Medicinal Products for Human Use，2013/C 343/01。</w:t>
      </w:r>
    </w:p>
    <w:p>
      <w:pPr>
        <w:pStyle w:val="ListBullet"/>
        <w:spacing w:after="40" w:line="300" w:lineRule="auto"/>
      </w:pPr>
      <w:r>
        <w:rPr>
          <w:rFonts w:ascii="Arial" w:hAnsi="Arial" w:eastAsia="微软雅黑"/>
          <w:b w:val="0"/>
          <w:i w:val="0"/>
          <w:sz w:val="21"/>
        </w:rPr>
        <w:t>ICH Quality Guidelines，特别是稳定性与质量风险管理相关章节。</w:t>
      </w:r>
    </w:p>
    <w:p>
      <w:pPr>
        <w:pStyle w:val="ListBullet"/>
        <w:spacing w:after="40" w:line="300" w:lineRule="auto"/>
      </w:pPr>
      <w:r>
        <w:rPr>
          <w:rFonts w:ascii="Arial" w:hAnsi="Arial" w:eastAsia="微软雅黑"/>
          <w:b w:val="0"/>
          <w:i w:val="0"/>
          <w:sz w:val="21"/>
        </w:rPr>
        <w:t>产品稳定性数据、允许温度超限时长以及 Mean Kinetic Temperature，即 MKT 计算规则。</w:t>
      </w:r>
    </w:p>
    <w:p>
      <w:pPr>
        <w:spacing w:after="80" w:line="300" w:lineRule="auto"/>
      </w:pPr>
      <w:r>
        <w:rPr>
          <w:rFonts w:ascii="Arial" w:hAnsi="Arial" w:eastAsia="微软雅黑"/>
          <w:b w:val="0"/>
          <w:i w:val="0"/>
          <w:sz w:val="21"/>
        </w:rPr>
        <w:t>现有研究多集中在温度时间序列异常检测、冷链物流车辆路径优化、MKT 计算等单点任务，较少将“处置决策、根因诊断、替代库存调拨、配送重排、合规解释”整合为统一系统。PharmaColdOps 针对这一空白提出闭环方案。</w:t>
      </w:r>
    </w:p>
    <w:p>
      <w:pPr>
        <w:spacing w:before="200" w:after="80"/>
      </w:pPr>
      <w:r>
        <w:rPr>
          <w:rFonts w:ascii="Arial" w:hAnsi="Arial" w:eastAsia="微软雅黑"/>
          <w:b/>
          <w:i w:val="0"/>
          <w:color w:val="1F3B66"/>
          <w:sz w:val="30"/>
        </w:rPr>
        <w:t>四、利益相关者与业务价值</w:t>
      </w:r>
    </w:p>
    <w:p>
      <w:pPr>
        <w:pStyle w:val="ListBullet"/>
        <w:spacing w:after="40" w:line="300" w:lineRule="auto"/>
      </w:pPr>
      <w:r>
        <w:rPr>
          <w:rFonts w:ascii="Arial" w:hAnsi="Arial" w:eastAsia="微软雅黑"/>
          <w:b/>
          <w:i w:val="0"/>
          <w:sz w:val="21"/>
        </w:rPr>
        <w:t>质量负责人 / QA：</w:t>
      </w:r>
      <w:r>
        <w:rPr>
          <w:rFonts w:ascii="Arial" w:hAnsi="Arial" w:eastAsia="微软雅黑"/>
          <w:b w:val="0"/>
          <w:i w:val="0"/>
          <w:sz w:val="21"/>
        </w:rPr>
        <w:t>获得合规、可解释、可追溯的放行、隔离、复验或报废建议。</w:t>
      </w:r>
    </w:p>
    <w:p>
      <w:pPr>
        <w:pStyle w:val="ListBullet"/>
        <w:spacing w:after="40" w:line="300" w:lineRule="auto"/>
      </w:pPr>
      <w:r>
        <w:rPr>
          <w:rFonts w:ascii="Arial" w:hAnsi="Arial" w:eastAsia="微软雅黑"/>
          <w:b/>
          <w:i w:val="0"/>
          <w:sz w:val="21"/>
        </w:rPr>
        <w:t>物流调度员：</w:t>
      </w:r>
      <w:r>
        <w:rPr>
          <w:rFonts w:ascii="Arial" w:hAnsi="Arial" w:eastAsia="微软雅黑"/>
          <w:b w:val="0"/>
          <w:i w:val="0"/>
          <w:sz w:val="21"/>
        </w:rPr>
        <w:t>温度异常后自动得到替代库存与重排路线，减少断供。</w:t>
      </w:r>
    </w:p>
    <w:p>
      <w:pPr>
        <w:pStyle w:val="ListBullet"/>
        <w:spacing w:after="40" w:line="300" w:lineRule="auto"/>
      </w:pPr>
      <w:r>
        <w:rPr>
          <w:rFonts w:ascii="Arial" w:hAnsi="Arial" w:eastAsia="微软雅黑"/>
          <w:b/>
          <w:i w:val="0"/>
          <w:sz w:val="21"/>
        </w:rPr>
        <w:t>仓库 / 运输主管：</w:t>
      </w:r>
      <w:r>
        <w:rPr>
          <w:rFonts w:ascii="Arial" w:hAnsi="Arial" w:eastAsia="微软雅黑"/>
          <w:b w:val="0"/>
          <w:i w:val="0"/>
          <w:sz w:val="21"/>
        </w:rPr>
        <w:t>识别异常根因，例如冷藏机组故障、开门过久、转运停留时间过长。</w:t>
      </w:r>
    </w:p>
    <w:p>
      <w:pPr>
        <w:pStyle w:val="ListBullet"/>
        <w:spacing w:after="40" w:line="300" w:lineRule="auto"/>
      </w:pPr>
      <w:r>
        <w:rPr>
          <w:rFonts w:ascii="Arial" w:hAnsi="Arial" w:eastAsia="微软雅黑"/>
          <w:b/>
          <w:i w:val="0"/>
          <w:sz w:val="21"/>
        </w:rPr>
        <w:t>合规 / 审计人员：</w:t>
      </w:r>
      <w:r>
        <w:rPr>
          <w:rFonts w:ascii="Arial" w:hAnsi="Arial" w:eastAsia="微软雅黑"/>
          <w:b w:val="0"/>
          <w:i w:val="0"/>
          <w:sz w:val="21"/>
        </w:rPr>
        <w:t>获得完整决策链路、法规依据与异常处置报告。</w:t>
      </w:r>
    </w:p>
    <w:p>
      <w:pPr>
        <w:pStyle w:val="ListBullet"/>
        <w:spacing w:after="40" w:line="300" w:lineRule="auto"/>
      </w:pPr>
      <w:r>
        <w:rPr>
          <w:rFonts w:ascii="Arial" w:hAnsi="Arial" w:eastAsia="微软雅黑"/>
          <w:b/>
          <w:i w:val="0"/>
          <w:sz w:val="21"/>
        </w:rPr>
        <w:t>患者与终端机构：</w:t>
      </w:r>
      <w:r>
        <w:rPr>
          <w:rFonts w:ascii="Arial" w:hAnsi="Arial" w:eastAsia="微软雅黑"/>
          <w:b w:val="0"/>
          <w:i w:val="0"/>
          <w:sz w:val="21"/>
        </w:rPr>
        <w:t>通过更少的不当放行和更及时的补发，降低药品安全风险与缺货影响。</w:t>
      </w:r>
    </w:p>
    <w:p>
      <w:pPr>
        <w:spacing w:before="200" w:after="80"/>
      </w:pPr>
      <w:r>
        <w:rPr>
          <w:rFonts w:ascii="Arial" w:hAnsi="Arial" w:eastAsia="微软雅黑"/>
          <w:b/>
          <w:i w:val="0"/>
          <w:color w:val="1F3B66"/>
          <w:sz w:val="30"/>
        </w:rPr>
        <w:t>五、系统总体方案</w:t>
      </w:r>
    </w:p>
    <w:p>
      <w:pPr>
        <w:spacing w:after="80" w:line="300" w:lineRule="auto"/>
      </w:pPr>
      <w:r>
        <w:rPr>
          <w:rFonts w:ascii="Arial" w:hAnsi="Arial" w:eastAsia="微软雅黑"/>
          <w:b w:val="0"/>
          <w:i w:val="0"/>
          <w:sz w:val="21"/>
        </w:rPr>
        <w:t>系统处理流程如下：</w:t>
      </w:r>
    </w:p>
    <w:p>
      <w:pPr>
        <w:pStyle w:val="ListNumber"/>
        <w:spacing w:after="40" w:line="300" w:lineRule="auto"/>
      </w:pPr>
      <w:r>
        <w:rPr>
          <w:rFonts w:ascii="Arial" w:hAnsi="Arial" w:eastAsia="微软雅黑"/>
          <w:b w:val="0"/>
          <w:i w:val="0"/>
          <w:sz w:val="21"/>
        </w:rPr>
        <w:t>接入温湿度传感器、GPS、订单、库存、车辆、产品稳定性参数等数据。</w:t>
      </w:r>
    </w:p>
    <w:p>
      <w:pPr>
        <w:pStyle w:val="ListNumber"/>
        <w:spacing w:after="40" w:line="300" w:lineRule="auto"/>
      </w:pPr>
      <w:r>
        <w:rPr>
          <w:rFonts w:ascii="Arial" w:hAnsi="Arial" w:eastAsia="微软雅黑"/>
          <w:b w:val="0"/>
          <w:i w:val="0"/>
          <w:sz w:val="21"/>
        </w:rPr>
        <w:t>实时计算温度超限、超限时长、MKT、异常窗口，并预测未来 30/60 分钟内是否可能发生温度偏差。</w:t>
      </w:r>
    </w:p>
    <w:p>
      <w:pPr>
        <w:pStyle w:val="ListNumber"/>
        <w:spacing w:after="40" w:line="300" w:lineRule="auto"/>
      </w:pPr>
      <w:r>
        <w:rPr>
          <w:rFonts w:ascii="Arial" w:hAnsi="Arial" w:eastAsia="微软雅黑"/>
          <w:b w:val="0"/>
          <w:i w:val="0"/>
          <w:sz w:val="21"/>
        </w:rPr>
        <w:t>规则引擎根据产品类型、超限幅度、持续时间、包装状态、运输阶段等输出处置等级。</w:t>
      </w:r>
    </w:p>
    <w:p>
      <w:pPr>
        <w:pStyle w:val="ListNumber"/>
        <w:spacing w:after="40" w:line="300" w:lineRule="auto"/>
      </w:pPr>
      <w:r>
        <w:rPr>
          <w:rFonts w:ascii="Arial" w:hAnsi="Arial" w:eastAsia="微软雅黑"/>
          <w:b w:val="0"/>
          <w:i w:val="0"/>
          <w:sz w:val="21"/>
        </w:rPr>
        <w:t>根因诊断模块将异常与车辆、仓库、路线、设备、装卸事件关联。</w:t>
      </w:r>
    </w:p>
    <w:p>
      <w:pPr>
        <w:pStyle w:val="ListNumber"/>
        <w:spacing w:after="40" w:line="300" w:lineRule="auto"/>
      </w:pPr>
      <w:r>
        <w:rPr>
          <w:rFonts w:ascii="Arial" w:hAnsi="Arial" w:eastAsia="微软雅黑"/>
          <w:b w:val="0"/>
          <w:i w:val="0"/>
          <w:sz w:val="21"/>
        </w:rPr>
        <w:t>优化模块对需要补发、调拨或重新配送的订单进行带时间窗的多温区车辆路径重排。</w:t>
      </w:r>
    </w:p>
    <w:p>
      <w:pPr>
        <w:pStyle w:val="ListNumber"/>
        <w:spacing w:after="40" w:line="300" w:lineRule="auto"/>
      </w:pPr>
      <w:r>
        <w:rPr>
          <w:rFonts w:ascii="Arial" w:hAnsi="Arial" w:eastAsia="微软雅黑"/>
          <w:b w:val="0"/>
          <w:i w:val="0"/>
          <w:sz w:val="21"/>
        </w:rPr>
        <w:t>知识图谱与问答模块提供“为什么隔离”“依据哪条 SOP/GDP 条款”等解释，并生成审计报告。</w:t>
      </w:r>
    </w:p>
    <w:p>
      <w:pPr>
        <w:pStyle w:val="ListNumber"/>
        <w:spacing w:after="40" w:line="300" w:lineRule="auto"/>
      </w:pPr>
      <w:r>
        <w:rPr>
          <w:rFonts w:ascii="Arial" w:hAnsi="Arial" w:eastAsia="微软雅黑"/>
          <w:b w:val="0"/>
          <w:i w:val="0"/>
          <w:sz w:val="21"/>
        </w:rPr>
        <w:t>实际处置结果回写知识库和风险模型，形成持续改进闭环。</w:t>
      </w:r>
    </w:p>
    <w:p>
      <w:pPr>
        <w:spacing w:before="200" w:after="80"/>
      </w:pPr>
      <w:r>
        <w:rPr>
          <w:rFonts w:ascii="Arial" w:hAnsi="Arial" w:eastAsia="微软雅黑"/>
          <w:b/>
          <w:i w:val="0"/>
          <w:color w:val="1F3B66"/>
          <w:sz w:val="30"/>
        </w:rPr>
        <w:t>六、技术方案与四项 IRS 技术映射</w:t>
      </w:r>
    </w:p>
    <w:p>
      <w:pPr>
        <w:spacing w:before="120" w:after="80"/>
      </w:pPr>
      <w:r>
        <w:rPr>
          <w:rFonts w:ascii="Arial" w:hAnsi="Arial" w:eastAsia="微软雅黑"/>
          <w:b/>
          <w:i w:val="0"/>
          <w:color w:val="2E548A"/>
          <w:sz w:val="25"/>
        </w:rPr>
        <w:t>6.1 技术映射</w:t>
      </w:r>
    </w:p>
    <w:tbl>
      <w:tblPr>
        <w:tblStyle w:val="TableGrid"/>
        <w:tblW w:type="auto" w:w="0"/>
        <w:jc w:val="center"/>
        <w:tblLook w:firstColumn="1" w:firstRow="1" w:lastColumn="0" w:lastRow="0" w:noHBand="0" w:noVBand="1" w:val="04A0"/>
      </w:tblPr>
      <w:tblGrid>
        <w:gridCol w:w="4824"/>
        <w:gridCol w:w="4824"/>
      </w:tblGrid>
      <w:tr>
        <w:tc>
          <w:tcPr>
            <w:tcW w:type="dxa" w:w="2880"/>
          </w:tcPr>
          <w:p>
            <w:r>
              <w:rPr>
                <w:rFonts w:ascii="Arial" w:hAnsi="Arial" w:eastAsia="微软雅黑"/>
                <w:b/>
                <w:i w:val="0"/>
                <w:sz w:val="18"/>
              </w:rPr>
              <w:t>IRS 技术组</w:t>
            </w:r>
          </w:p>
        </w:tc>
        <w:tc>
          <w:tcPr>
            <w:tcW w:type="dxa" w:w="6480"/>
          </w:tcPr>
          <w:p>
            <w:r>
              <w:rPr>
                <w:rFonts w:ascii="Arial" w:hAnsi="Arial" w:eastAsia="微软雅黑"/>
                <w:b/>
                <w:i w:val="0"/>
                <w:sz w:val="18"/>
              </w:rPr>
              <w:t>本项目实现</w:t>
            </w:r>
          </w:p>
        </w:tc>
      </w:tr>
      <w:tr>
        <w:tc>
          <w:tcPr>
            <w:tcW w:type="dxa" w:w="2880"/>
          </w:tcPr>
          <w:p>
            <w:r>
              <w:rPr>
                <w:rFonts w:ascii="Arial" w:hAnsi="Arial" w:eastAsia="微软雅黑"/>
                <w:b w:val="0"/>
                <w:i w:val="0"/>
                <w:sz w:val="18"/>
              </w:rPr>
              <w:t>决策自动化</w:t>
            </w:r>
          </w:p>
        </w:tc>
        <w:tc>
          <w:tcPr>
            <w:tcW w:type="dxa" w:w="6480"/>
          </w:tcPr>
          <w:p>
            <w:r>
              <w:rPr>
                <w:rFonts w:ascii="Arial" w:hAnsi="Arial" w:eastAsia="微软雅黑"/>
                <w:b w:val="0"/>
                <w:i w:val="0"/>
                <w:sz w:val="18"/>
              </w:rPr>
              <w:t>基于规则引擎判定放行 / 隔离 / 复验 / 报废 / 补发，并输出可追溯决策链</w:t>
            </w:r>
          </w:p>
        </w:tc>
      </w:tr>
      <w:tr>
        <w:tc>
          <w:tcPr>
            <w:tcW w:type="dxa" w:w="2880"/>
          </w:tcPr>
          <w:p>
            <w:r>
              <w:rPr>
                <w:rFonts w:ascii="Arial" w:hAnsi="Arial" w:eastAsia="微软雅黑"/>
                <w:b w:val="0"/>
                <w:i w:val="0"/>
                <w:sz w:val="18"/>
              </w:rPr>
              <w:t>资源优化</w:t>
            </w:r>
          </w:p>
        </w:tc>
        <w:tc>
          <w:tcPr>
            <w:tcW w:type="dxa" w:w="6480"/>
          </w:tcPr>
          <w:p>
            <w:r>
              <w:rPr>
                <w:rFonts w:ascii="Arial" w:hAnsi="Arial" w:eastAsia="微软雅黑"/>
                <w:b w:val="0"/>
                <w:i w:val="0"/>
                <w:sz w:val="18"/>
              </w:rPr>
              <w:t>遗传算法或 OR-Tools / CP-SAT 求解冷链 VRPTW、替代库存与车辆调度</w:t>
            </w:r>
          </w:p>
        </w:tc>
      </w:tr>
      <w:tr>
        <w:tc>
          <w:tcPr>
            <w:tcW w:type="dxa" w:w="2880"/>
          </w:tcPr>
          <w:p>
            <w:r>
              <w:rPr>
                <w:rFonts w:ascii="Arial" w:hAnsi="Arial" w:eastAsia="微软雅黑"/>
                <w:b w:val="0"/>
                <w:i w:val="0"/>
                <w:sz w:val="18"/>
              </w:rPr>
              <w:t>知识发现 / 数据挖掘</w:t>
            </w:r>
          </w:p>
        </w:tc>
        <w:tc>
          <w:tcPr>
            <w:tcW w:type="dxa" w:w="6480"/>
          </w:tcPr>
          <w:p>
            <w:r>
              <w:rPr>
                <w:rFonts w:ascii="Arial" w:hAnsi="Arial" w:eastAsia="微软雅黑"/>
                <w:b w:val="0"/>
                <w:i w:val="0"/>
                <w:sz w:val="18"/>
              </w:rPr>
              <w:t>温度超限风险预测、异常根因分类、质量风险分级</w:t>
            </w:r>
          </w:p>
        </w:tc>
      </w:tr>
      <w:tr>
        <w:tc>
          <w:tcPr>
            <w:tcW w:type="dxa" w:w="2880"/>
          </w:tcPr>
          <w:p>
            <w:r>
              <w:rPr>
                <w:rFonts w:ascii="Arial" w:hAnsi="Arial" w:eastAsia="微软雅黑"/>
                <w:b w:val="0"/>
                <w:i w:val="0"/>
                <w:sz w:val="18"/>
              </w:rPr>
              <w:t>认知系统</w:t>
            </w:r>
          </w:p>
        </w:tc>
        <w:tc>
          <w:tcPr>
            <w:tcW w:type="dxa" w:w="6480"/>
          </w:tcPr>
          <w:p>
            <w:r>
              <w:rPr>
                <w:rFonts w:ascii="Arial" w:hAnsi="Arial" w:eastAsia="微软雅黑"/>
                <w:b w:val="0"/>
                <w:i w:val="0"/>
                <w:sz w:val="18"/>
              </w:rPr>
              <w:t>冷链知识图谱 + 自然语言合规问答 + 可解释审计报告</w:t>
            </w:r>
          </w:p>
        </w:tc>
      </w:tr>
    </w:tbl>
    <w:p>
      <w:pPr>
        <w:spacing w:after="0"/>
      </w:pPr>
    </w:p>
    <w:p>
      <w:pPr>
        <w:spacing w:before="120" w:after="80"/>
      </w:pPr>
      <w:r>
        <w:rPr>
          <w:rFonts w:ascii="Arial" w:hAnsi="Arial" w:eastAsia="微软雅黑"/>
          <w:b/>
          <w:i w:val="0"/>
          <w:color w:val="2E548A"/>
          <w:sz w:val="25"/>
        </w:rPr>
        <w:t>6.2 决策自动化：规则引擎</w:t>
      </w:r>
    </w:p>
    <w:p>
      <w:pPr>
        <w:spacing w:after="80" w:line="300" w:lineRule="auto"/>
      </w:pPr>
      <w:r>
        <w:rPr>
          <w:rFonts w:ascii="Arial" w:hAnsi="Arial" w:eastAsia="微软雅黑"/>
          <w:b w:val="0"/>
          <w:i w:val="0"/>
          <w:sz w:val="21"/>
        </w:rPr>
        <w:t>输入变量包括：</w:t>
      </w:r>
    </w:p>
    <w:p>
      <w:pPr>
        <w:pStyle w:val="ListBullet"/>
        <w:spacing w:after="40" w:line="300" w:lineRule="auto"/>
      </w:pPr>
      <w:r>
        <w:rPr>
          <w:rFonts w:ascii="Arial" w:hAnsi="Arial" w:eastAsia="微软雅黑"/>
          <w:b w:val="0"/>
          <w:i w:val="0"/>
          <w:sz w:val="21"/>
        </w:rPr>
        <w:t>产品类别与标准储存温度，例如 2–8°C、-20°C。</w:t>
      </w:r>
    </w:p>
    <w:p>
      <w:pPr>
        <w:pStyle w:val="ListBullet"/>
        <w:spacing w:after="40" w:line="300" w:lineRule="auto"/>
      </w:pPr>
      <w:r>
        <w:rPr>
          <w:rFonts w:ascii="Arial" w:hAnsi="Arial" w:eastAsia="微软雅黑"/>
          <w:b w:val="0"/>
          <w:i w:val="0"/>
          <w:sz w:val="21"/>
        </w:rPr>
        <w:t>温度偏差幅度与持续时间。</w:t>
      </w:r>
    </w:p>
    <w:p>
      <w:pPr>
        <w:pStyle w:val="ListBullet"/>
        <w:spacing w:after="40" w:line="300" w:lineRule="auto"/>
      </w:pPr>
      <w:r>
        <w:rPr>
          <w:rFonts w:ascii="Arial" w:hAnsi="Arial" w:eastAsia="微软雅黑"/>
          <w:b w:val="0"/>
          <w:i w:val="0"/>
          <w:sz w:val="21"/>
        </w:rPr>
        <w:t>MKT 与产品允许超限阈值。</w:t>
      </w:r>
    </w:p>
    <w:p>
      <w:pPr>
        <w:pStyle w:val="ListBullet"/>
        <w:spacing w:after="40" w:line="300" w:lineRule="auto"/>
      </w:pPr>
      <w:r>
        <w:rPr>
          <w:rFonts w:ascii="Arial" w:hAnsi="Arial" w:eastAsia="微软雅黑"/>
          <w:b w:val="0"/>
          <w:i w:val="0"/>
          <w:sz w:val="21"/>
        </w:rPr>
        <w:t>包装状态、运输阶段、历史异常记录。</w:t>
      </w:r>
    </w:p>
    <w:p>
      <w:pPr>
        <w:pStyle w:val="ListBullet"/>
        <w:spacing w:after="40" w:line="300" w:lineRule="auto"/>
      </w:pPr>
      <w:r>
        <w:rPr>
          <w:rFonts w:ascii="Arial" w:hAnsi="Arial" w:eastAsia="微软雅黑"/>
          <w:b w:val="0"/>
          <w:i w:val="0"/>
          <w:sz w:val="21"/>
        </w:rPr>
        <w:t>法规 / SOP 约束。</w:t>
      </w:r>
    </w:p>
    <w:p>
      <w:pPr>
        <w:spacing w:after="80" w:line="300" w:lineRule="auto"/>
      </w:pPr>
      <w:r>
        <w:rPr>
          <w:rFonts w:ascii="Arial" w:hAnsi="Arial" w:eastAsia="微软雅黑"/>
          <w:b w:val="0"/>
          <w:i w:val="0"/>
          <w:sz w:val="21"/>
        </w:rPr>
        <w:t>输出决策包括：</w:t>
      </w:r>
    </w:p>
    <w:p>
      <w:pPr>
        <w:pStyle w:val="ListBullet"/>
        <w:spacing w:after="40" w:line="300" w:lineRule="auto"/>
      </w:pPr>
      <w:r>
        <w:rPr>
          <w:rFonts w:ascii="Arial" w:hAnsi="Arial" w:eastAsia="微软雅黑"/>
          <w:b w:val="0"/>
          <w:i w:val="0"/>
          <w:sz w:val="21"/>
        </w:rPr>
        <w:t>放行：偏差在可接受安全范围内。</w:t>
      </w:r>
    </w:p>
    <w:p>
      <w:pPr>
        <w:pStyle w:val="ListBullet"/>
        <w:spacing w:after="40" w:line="300" w:lineRule="auto"/>
      </w:pPr>
      <w:r>
        <w:rPr>
          <w:rFonts w:ascii="Arial" w:hAnsi="Arial" w:eastAsia="微软雅黑"/>
          <w:b w:val="0"/>
          <w:i w:val="0"/>
          <w:sz w:val="21"/>
        </w:rPr>
        <w:t>隔离 / 复验：需要进一步质量评估或检测。</w:t>
      </w:r>
    </w:p>
    <w:p>
      <w:pPr>
        <w:pStyle w:val="ListBullet"/>
        <w:spacing w:after="40" w:line="300" w:lineRule="auto"/>
      </w:pPr>
      <w:r>
        <w:rPr>
          <w:rFonts w:ascii="Arial" w:hAnsi="Arial" w:eastAsia="微软雅黑"/>
          <w:b w:val="0"/>
          <w:i w:val="0"/>
          <w:sz w:val="21"/>
        </w:rPr>
        <w:t>报废：风险不可接受。</w:t>
      </w:r>
    </w:p>
    <w:p>
      <w:pPr>
        <w:pStyle w:val="ListBullet"/>
        <w:spacing w:after="40" w:line="300" w:lineRule="auto"/>
      </w:pPr>
      <w:r>
        <w:rPr>
          <w:rFonts w:ascii="Arial" w:hAnsi="Arial" w:eastAsia="微软雅黑"/>
          <w:b w:val="0"/>
          <w:i w:val="0"/>
          <w:sz w:val="21"/>
        </w:rPr>
        <w:t>补发：从替代仓库调货并重新配送。</w:t>
      </w:r>
    </w:p>
    <w:p>
      <w:pPr>
        <w:spacing w:after="80" w:line="300" w:lineRule="auto"/>
      </w:pPr>
      <w:r>
        <w:rPr>
          <w:rFonts w:ascii="Arial" w:hAnsi="Arial" w:eastAsia="微软雅黑"/>
          <w:b w:val="0"/>
          <w:i w:val="0"/>
          <w:sz w:val="21"/>
        </w:rPr>
        <w:t>每条结论附带规则路径，例如：“2–8°C 产品在 12°C 持续 35 分钟，超过产品允许的 30 分钟，因此建议隔离并启动质量评估。”</w:t>
      </w:r>
    </w:p>
    <w:p>
      <w:pPr>
        <w:spacing w:before="120" w:after="80"/>
      </w:pPr>
      <w:r>
        <w:rPr>
          <w:rFonts w:ascii="Arial" w:hAnsi="Arial" w:eastAsia="微软雅黑"/>
          <w:b/>
          <w:i w:val="0"/>
          <w:color w:val="2E548A"/>
          <w:sz w:val="25"/>
        </w:rPr>
        <w:t>6.3 知识发现：风险预测与根因诊断</w:t>
      </w:r>
    </w:p>
    <w:p>
      <w:pPr>
        <w:spacing w:after="80" w:line="300" w:lineRule="auto"/>
      </w:pPr>
      <w:r>
        <w:rPr>
          <w:rFonts w:ascii="Arial" w:hAnsi="Arial" w:eastAsia="微软雅黑"/>
          <w:b w:val="0"/>
          <w:i w:val="0"/>
          <w:sz w:val="21"/>
        </w:rPr>
        <w:t>风险预测采用表格型机器学习基线：</w:t>
      </w:r>
    </w:p>
    <w:p>
      <w:pPr>
        <w:pStyle w:val="ListBullet"/>
        <w:spacing w:after="40" w:line="300" w:lineRule="auto"/>
      </w:pPr>
      <w:r>
        <w:rPr>
          <w:rFonts w:ascii="Arial" w:hAnsi="Arial" w:eastAsia="微软雅黑"/>
          <w:b w:val="0"/>
          <w:i w:val="0"/>
          <w:sz w:val="21"/>
        </w:rPr>
        <w:t>LightGBM、XGBoost 作为主要模型。</w:t>
      </w:r>
    </w:p>
    <w:p>
      <w:pPr>
        <w:pStyle w:val="ListBullet"/>
        <w:spacing w:after="40" w:line="300" w:lineRule="auto"/>
      </w:pPr>
      <w:r>
        <w:rPr>
          <w:rFonts w:ascii="Arial" w:hAnsi="Arial" w:eastAsia="微软雅黑"/>
          <w:b w:val="0"/>
          <w:i w:val="0"/>
          <w:sz w:val="21"/>
        </w:rPr>
        <w:t>SHAP 用于解释关键特征，例如超限时长、MKT、开门次数、运输阶段。</w:t>
      </w:r>
    </w:p>
    <w:p>
      <w:pPr>
        <w:pStyle w:val="ListBullet"/>
        <w:spacing w:after="40" w:line="300" w:lineRule="auto"/>
      </w:pPr>
      <w:r>
        <w:rPr>
          <w:rFonts w:ascii="Arial" w:hAnsi="Arial" w:eastAsia="微软雅黑"/>
          <w:b w:val="0"/>
          <w:i w:val="0"/>
          <w:sz w:val="21"/>
        </w:rPr>
        <w:t>可选进阶：使用 LSTM / Transformer 等时间序列模型做提前预警。</w:t>
      </w:r>
    </w:p>
    <w:p>
      <w:pPr>
        <w:spacing w:after="80" w:line="300" w:lineRule="auto"/>
      </w:pPr>
      <w:r>
        <w:rPr>
          <w:rFonts w:ascii="Arial" w:hAnsi="Arial" w:eastAsia="微软雅黑"/>
          <w:b w:val="0"/>
          <w:i w:val="0"/>
          <w:sz w:val="21"/>
        </w:rPr>
        <w:t>根因诊断类别包括：冷藏机组故障、频繁开门或开门时间过长、转运停留时间过长、包装或相变材料配置不当、传感器故障或数据漂移。</w:t>
      </w:r>
    </w:p>
    <w:p>
      <w:pPr>
        <w:spacing w:before="120" w:after="80"/>
      </w:pPr>
      <w:r>
        <w:rPr>
          <w:rFonts w:ascii="Arial" w:hAnsi="Arial" w:eastAsia="微软雅黑"/>
          <w:b/>
          <w:i w:val="0"/>
          <w:color w:val="2E548A"/>
          <w:sz w:val="25"/>
        </w:rPr>
        <w:t>6.4 资源优化：冷链配送重排</w:t>
      </w:r>
    </w:p>
    <w:p>
      <w:pPr>
        <w:spacing w:after="80" w:line="300" w:lineRule="auto"/>
      </w:pPr>
      <w:r>
        <w:rPr>
          <w:rFonts w:ascii="Arial" w:hAnsi="Arial" w:eastAsia="微软雅黑"/>
          <w:b w:val="0"/>
          <w:i w:val="0"/>
          <w:sz w:val="21"/>
        </w:rPr>
        <w:t>将补发与重排问题建模为带时间窗、多温区、容量约束、司机工时和断供优先级的车辆路径问题，即 VRPTW。</w:t>
      </w:r>
    </w:p>
    <w:p>
      <w:pPr>
        <w:spacing w:after="80" w:line="300" w:lineRule="auto"/>
      </w:pPr>
      <w:r>
        <w:rPr>
          <w:rFonts w:ascii="Arial" w:hAnsi="Arial" w:eastAsia="微软雅黑"/>
          <w:b w:val="0"/>
          <w:i w:val="0"/>
          <w:sz w:val="21"/>
        </w:rPr>
        <w:t>主要约束包括：车辆容量与多温区容量、时间窗、司机工时、温度敏感订单优先配送、替代仓库库存可得性。</w:t>
      </w:r>
    </w:p>
    <w:p>
      <w:pPr>
        <w:spacing w:after="80" w:line="300" w:lineRule="auto"/>
      </w:pPr>
      <w:r>
        <w:rPr>
          <w:rFonts w:ascii="Arial" w:hAnsi="Arial" w:eastAsia="微软雅黑"/>
          <w:b w:val="0"/>
          <w:i w:val="0"/>
          <w:sz w:val="21"/>
        </w:rPr>
        <w:t>优化目标包括：最小化断供时间、最小化报废损失、最小化总运输距离 / 时间或碳排放、最大化约束满足率。</w:t>
      </w:r>
    </w:p>
    <w:p>
      <w:pPr>
        <w:spacing w:after="80" w:line="300" w:lineRule="auto"/>
      </w:pPr>
      <w:r>
        <w:rPr>
          <w:rFonts w:ascii="Arial" w:hAnsi="Arial" w:eastAsia="微软雅黑"/>
          <w:b w:val="0"/>
          <w:i w:val="0"/>
          <w:sz w:val="21"/>
        </w:rPr>
        <w:t>实现策略：先用贪心算法生成可解释的基线方案，再用 OR-Tools / CP-SAT 或遗传算法优化，并展示相对贪心基线的准时率、成本、报废损失改善。</w:t>
      </w:r>
    </w:p>
    <w:p>
      <w:pPr>
        <w:spacing w:before="120" w:after="80"/>
      </w:pPr>
      <w:r>
        <w:rPr>
          <w:rFonts w:ascii="Arial" w:hAnsi="Arial" w:eastAsia="微软雅黑"/>
          <w:b/>
          <w:i w:val="0"/>
          <w:color w:val="2E548A"/>
          <w:sz w:val="25"/>
        </w:rPr>
        <w:t>6.5 认知系统：知识图谱与合规问答</w:t>
      </w:r>
    </w:p>
    <w:p>
      <w:pPr>
        <w:spacing w:after="80" w:line="300" w:lineRule="auto"/>
      </w:pPr>
      <w:r>
        <w:rPr>
          <w:rFonts w:ascii="Arial" w:hAnsi="Arial" w:eastAsia="微软雅黑"/>
          <w:b w:val="0"/>
          <w:i w:val="0"/>
          <w:sz w:val="21"/>
        </w:rPr>
        <w:t>知识图谱实体包括：产品、温度要求、稳定性参数、运输订单、车辆、路线、仓库、温度事件、异常原因、处置建议、法规条款、SOP、历史案例。</w:t>
      </w:r>
    </w:p>
    <w:p>
      <w:pPr>
        <w:spacing w:after="80" w:line="300" w:lineRule="auto"/>
      </w:pPr>
      <w:r>
        <w:rPr>
          <w:rFonts w:ascii="Arial" w:hAnsi="Arial" w:eastAsia="微软雅黑"/>
          <w:b w:val="0"/>
          <w:i w:val="0"/>
          <w:sz w:val="21"/>
        </w:rPr>
        <w:t>图谱可选用 Neo4j 或 NetworkX 构建。问答系统优先基于规则、知识图谱查询和决策链生成答案。若引入大语言模型，只用于自然语言润色，不允许其生成未经验证的合规结论。</w:t>
      </w:r>
    </w:p>
    <w:p>
      <w:pPr>
        <w:spacing w:before="120" w:after="80"/>
      </w:pPr>
      <w:r>
        <w:rPr>
          <w:rFonts w:ascii="Arial" w:hAnsi="Arial" w:eastAsia="微软雅黑"/>
          <w:b/>
          <w:i w:val="0"/>
          <w:color w:val="2E548A"/>
          <w:sz w:val="25"/>
        </w:rPr>
        <w:t>6.6 系统架构</w:t>
      </w:r>
    </w:p>
    <w:p>
      <w:pPr>
        <w:pStyle w:val="ListBullet"/>
        <w:spacing w:after="40" w:line="300" w:lineRule="auto"/>
      </w:pPr>
      <w:r>
        <w:rPr>
          <w:rFonts w:ascii="Arial" w:hAnsi="Arial" w:eastAsia="微软雅黑"/>
          <w:b w:val="0"/>
          <w:i w:val="0"/>
          <w:sz w:val="21"/>
        </w:rPr>
        <w:t>数据层：温度日志、订单、库存、车辆、产品稳定性参数。</w:t>
      </w:r>
    </w:p>
    <w:p>
      <w:pPr>
        <w:pStyle w:val="ListBullet"/>
        <w:spacing w:after="40" w:line="300" w:lineRule="auto"/>
      </w:pPr>
      <w:r>
        <w:rPr>
          <w:rFonts w:ascii="Arial" w:hAnsi="Arial" w:eastAsia="微软雅黑"/>
          <w:b w:val="0"/>
          <w:i w:val="0"/>
          <w:sz w:val="21"/>
        </w:rPr>
        <w:t>规则与模型层：异常检测、风险预测、规则引擎、根因分类、路径优化。</w:t>
      </w:r>
    </w:p>
    <w:p>
      <w:pPr>
        <w:pStyle w:val="ListBullet"/>
        <w:spacing w:after="40" w:line="300" w:lineRule="auto"/>
      </w:pPr>
      <w:r>
        <w:rPr>
          <w:rFonts w:ascii="Arial" w:hAnsi="Arial" w:eastAsia="微软雅黑"/>
          <w:b w:val="0"/>
          <w:i w:val="0"/>
          <w:sz w:val="21"/>
        </w:rPr>
        <w:t>知识与解释层：知识图谱、证据追踪、合规问答。</w:t>
      </w:r>
    </w:p>
    <w:p>
      <w:pPr>
        <w:pStyle w:val="ListBullet"/>
        <w:spacing w:after="40" w:line="300" w:lineRule="auto"/>
      </w:pPr>
      <w:r>
        <w:rPr>
          <w:rFonts w:ascii="Arial" w:hAnsi="Arial" w:eastAsia="微软雅黑"/>
          <w:b w:val="0"/>
          <w:i w:val="0"/>
          <w:sz w:val="21"/>
        </w:rPr>
        <w:t>展示层：异常列表、处置建议、路线可视化、审计报告、自然语言问答界面。</w:t>
      </w:r>
    </w:p>
    <w:p>
      <w:pPr>
        <w:spacing w:before="200" w:after="80"/>
      </w:pPr>
      <w:r>
        <w:rPr>
          <w:rFonts w:ascii="Arial" w:hAnsi="Arial" w:eastAsia="微软雅黑"/>
          <w:b/>
          <w:i w:val="0"/>
          <w:color w:val="1F3B66"/>
          <w:sz w:val="30"/>
        </w:rPr>
        <w:t>七、数据采集与预处理</w:t>
      </w:r>
    </w:p>
    <w:p>
      <w:pPr>
        <w:spacing w:before="120" w:after="80"/>
      </w:pPr>
      <w:r>
        <w:rPr>
          <w:rFonts w:ascii="Arial" w:hAnsi="Arial" w:eastAsia="微软雅黑"/>
          <w:b/>
          <w:i w:val="0"/>
          <w:color w:val="2E548A"/>
          <w:sz w:val="25"/>
        </w:rPr>
        <w:t>7.1 主要数据集</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232"/>
          </w:tcPr>
          <w:p>
            <w:r>
              <w:rPr>
                <w:rFonts w:ascii="Arial" w:hAnsi="Arial" w:eastAsia="微软雅黑"/>
                <w:b/>
                <w:i w:val="0"/>
                <w:sz w:val="18"/>
              </w:rPr>
              <w:t>数据集</w:t>
            </w:r>
          </w:p>
        </w:tc>
        <w:tc>
          <w:tcPr>
            <w:tcW w:type="dxa" w:w="3672"/>
          </w:tcPr>
          <w:p>
            <w:r>
              <w:rPr>
                <w:rFonts w:ascii="Arial" w:hAnsi="Arial" w:eastAsia="微软雅黑"/>
                <w:b/>
                <w:i w:val="0"/>
                <w:sz w:val="18"/>
              </w:rPr>
              <w:t>链接</w:t>
            </w:r>
          </w:p>
        </w:tc>
        <w:tc>
          <w:tcPr>
            <w:tcW w:type="dxa" w:w="1944"/>
          </w:tcPr>
          <w:p>
            <w:r>
              <w:rPr>
                <w:rFonts w:ascii="Arial" w:hAnsi="Arial" w:eastAsia="微软雅黑"/>
                <w:b/>
                <w:i w:val="0"/>
                <w:sz w:val="18"/>
              </w:rPr>
              <w:t>数据规模</w:t>
            </w:r>
          </w:p>
        </w:tc>
        <w:tc>
          <w:tcPr>
            <w:tcW w:type="dxa" w:w="1944"/>
          </w:tcPr>
          <w:p>
            <w:r>
              <w:rPr>
                <w:rFonts w:ascii="Arial" w:hAnsi="Arial" w:eastAsia="微软雅黑"/>
                <w:b/>
                <w:i w:val="0"/>
                <w:sz w:val="18"/>
              </w:rPr>
              <w:t>项目用途</w:t>
            </w:r>
          </w:p>
        </w:tc>
      </w:tr>
      <w:tr>
        <w:tc>
          <w:tcPr>
            <w:tcW w:type="dxa" w:w="2232"/>
          </w:tcPr>
          <w:p>
            <w:r>
              <w:rPr>
                <w:rFonts w:ascii="Arial" w:hAnsi="Arial" w:eastAsia="微软雅黑"/>
                <w:b w:val="0"/>
                <w:i w:val="0"/>
                <w:sz w:val="18"/>
              </w:rPr>
              <w:t>Cold Chain Shipment Silent Failure Dataset</w:t>
            </w:r>
          </w:p>
        </w:tc>
        <w:tc>
          <w:tcPr>
            <w:tcW w:type="dxa" w:w="3672"/>
          </w:tcPr>
          <w:p>
            <w:r>
              <w:rPr>
                <w:rFonts w:ascii="Arial" w:hAnsi="Arial" w:eastAsia="微软雅黑"/>
                <w:b w:val="0"/>
                <w:i w:val="0"/>
                <w:sz w:val="18"/>
              </w:rPr>
              <w:t>https://www.kaggle.com/datasets/skarin/cold-chain-shipment-silent-failure-dataset</w:t>
            </w:r>
          </w:p>
        </w:tc>
        <w:tc>
          <w:tcPr>
            <w:tcW w:type="dxa" w:w="1944"/>
          </w:tcPr>
          <w:p>
            <w:r>
              <w:rPr>
                <w:rFonts w:ascii="Arial" w:hAnsi="Arial" w:eastAsia="微软雅黑"/>
                <w:b w:val="0"/>
                <w:i w:val="0"/>
                <w:sz w:val="18"/>
              </w:rPr>
              <w:t>约 8,000 行，24 列，约 0.94 MB；含 label、silent_failure</w:t>
            </w:r>
          </w:p>
        </w:tc>
        <w:tc>
          <w:tcPr>
            <w:tcW w:type="dxa" w:w="1944"/>
          </w:tcPr>
          <w:p>
            <w:r>
              <w:rPr>
                <w:rFonts w:ascii="Arial" w:hAnsi="Arial" w:eastAsia="微软雅黑"/>
                <w:b w:val="0"/>
                <w:i w:val="0"/>
                <w:sz w:val="18"/>
              </w:rPr>
              <w:t>风险预测、故障分类、特征工程</w:t>
            </w:r>
          </w:p>
        </w:tc>
      </w:tr>
      <w:tr>
        <w:tc>
          <w:tcPr>
            <w:tcW w:type="dxa" w:w="2232"/>
          </w:tcPr>
          <w:p>
            <w:r>
              <w:rPr>
                <w:rFonts w:ascii="Arial" w:hAnsi="Arial" w:eastAsia="微软雅黑"/>
                <w:b w:val="0"/>
                <w:i w:val="0"/>
                <w:sz w:val="18"/>
              </w:rPr>
              <w:t>Vaccine Distribution with Temperature Logging</w:t>
            </w:r>
          </w:p>
        </w:tc>
        <w:tc>
          <w:tcPr>
            <w:tcW w:type="dxa" w:w="3672"/>
          </w:tcPr>
          <w:p>
            <w:r>
              <w:rPr>
                <w:rFonts w:ascii="Arial" w:hAnsi="Arial" w:eastAsia="微软雅黑"/>
                <w:b w:val="0"/>
                <w:i w:val="0"/>
                <w:sz w:val="18"/>
              </w:rPr>
              <w:t>https://www.kaggle.com/datasets/manankhanna0/vaccine-distribution-with-temperature-logging</w:t>
            </w:r>
          </w:p>
        </w:tc>
        <w:tc>
          <w:tcPr>
            <w:tcW w:type="dxa" w:w="1944"/>
          </w:tcPr>
          <w:p>
            <w:r>
              <w:rPr>
                <w:rFonts w:ascii="Arial" w:hAnsi="Arial" w:eastAsia="微软雅黑"/>
                <w:b w:val="0"/>
                <w:i w:val="0"/>
                <w:sz w:val="18"/>
              </w:rPr>
              <w:t>约 26,674 行，13 列，约 2.64 MB</w:t>
            </w:r>
          </w:p>
        </w:tc>
        <w:tc>
          <w:tcPr>
            <w:tcW w:type="dxa" w:w="1944"/>
          </w:tcPr>
          <w:p>
            <w:r>
              <w:rPr>
                <w:rFonts w:ascii="Arial" w:hAnsi="Arial" w:eastAsia="微软雅黑"/>
                <w:b w:val="0"/>
                <w:i w:val="0"/>
                <w:sz w:val="18"/>
              </w:rPr>
              <w:t>温度异常检测、超限片段识别、MKT 模拟</w:t>
            </w:r>
          </w:p>
        </w:tc>
      </w:tr>
      <w:tr>
        <w:tc>
          <w:tcPr>
            <w:tcW w:type="dxa" w:w="2232"/>
          </w:tcPr>
          <w:p>
            <w:r>
              <w:rPr>
                <w:rFonts w:ascii="Arial" w:hAnsi="Arial" w:eastAsia="微软雅黑"/>
                <w:b w:val="0"/>
                <w:i w:val="0"/>
                <w:sz w:val="18"/>
              </w:rPr>
              <w:t>Electric Sheep Africa vaccine-cold-chain</w:t>
            </w:r>
          </w:p>
        </w:tc>
        <w:tc>
          <w:tcPr>
            <w:tcW w:type="dxa" w:w="3672"/>
          </w:tcPr>
          <w:p>
            <w:r>
              <w:rPr>
                <w:rFonts w:ascii="Arial" w:hAnsi="Arial" w:eastAsia="微软雅黑"/>
                <w:b w:val="0"/>
                <w:i w:val="0"/>
                <w:sz w:val="18"/>
              </w:rPr>
              <w:t>https://huggingface.co/datasets/electricsheepafrica/vaccine-cold-chain</w:t>
            </w:r>
          </w:p>
        </w:tc>
        <w:tc>
          <w:tcPr>
            <w:tcW w:type="dxa" w:w="1944"/>
          </w:tcPr>
          <w:p>
            <w:r>
              <w:rPr>
                <w:rFonts w:ascii="Arial" w:hAnsi="Arial" w:eastAsia="微软雅黑"/>
                <w:b w:val="0"/>
                <w:i w:val="0"/>
                <w:sz w:val="18"/>
              </w:rPr>
              <w:t>30,000 行，由 3 个 10,000 行 CSV 组成</w:t>
            </w:r>
          </w:p>
        </w:tc>
        <w:tc>
          <w:tcPr>
            <w:tcW w:type="dxa" w:w="1944"/>
          </w:tcPr>
          <w:p>
            <w:r>
              <w:rPr>
                <w:rFonts w:ascii="Arial" w:hAnsi="Arial" w:eastAsia="微软雅黑"/>
                <w:b w:val="0"/>
                <w:i w:val="0"/>
                <w:sz w:val="18"/>
              </w:rPr>
              <w:t>设施 / 路线级冷链异常与多温度行为分析</w:t>
            </w:r>
          </w:p>
        </w:tc>
      </w:tr>
      <w:tr>
        <w:tc>
          <w:tcPr>
            <w:tcW w:type="dxa" w:w="2232"/>
          </w:tcPr>
          <w:p>
            <w:r>
              <w:rPr>
                <w:rFonts w:ascii="Arial" w:hAnsi="Arial" w:eastAsia="微软雅黑"/>
                <w:b w:val="0"/>
                <w:i w:val="0"/>
                <w:sz w:val="18"/>
              </w:rPr>
              <w:t>Africa Synth Immunization Vaccine Quality Cold Chain All</w:t>
            </w:r>
          </w:p>
        </w:tc>
        <w:tc>
          <w:tcPr>
            <w:tcW w:type="dxa" w:w="3672"/>
          </w:tcPr>
          <w:p>
            <w:r>
              <w:rPr>
                <w:rFonts w:ascii="Arial" w:hAnsi="Arial" w:eastAsia="微软雅黑"/>
                <w:b w:val="0"/>
                <w:i w:val="0"/>
                <w:sz w:val="18"/>
              </w:rPr>
              <w:t>https://huggingface.co/datasets/electricsheepafrica/africa-synth-immunization-vaccine-quality-cold-chain-all</w:t>
            </w:r>
          </w:p>
        </w:tc>
        <w:tc>
          <w:tcPr>
            <w:tcW w:type="dxa" w:w="1944"/>
          </w:tcPr>
          <w:p>
            <w:r>
              <w:rPr>
                <w:rFonts w:ascii="Arial" w:hAnsi="Arial" w:eastAsia="微软雅黑"/>
                <w:b w:val="0"/>
                <w:i w:val="0"/>
                <w:sz w:val="18"/>
              </w:rPr>
              <w:t>约 30,000 行</w:t>
            </w:r>
          </w:p>
        </w:tc>
        <w:tc>
          <w:tcPr>
            <w:tcW w:type="dxa" w:w="1944"/>
          </w:tcPr>
          <w:p>
            <w:r>
              <w:rPr>
                <w:rFonts w:ascii="Arial" w:hAnsi="Arial" w:eastAsia="微软雅黑"/>
                <w:b w:val="0"/>
                <w:i w:val="0"/>
                <w:sz w:val="18"/>
              </w:rPr>
              <w:t>数据增强、冷链质量标签补充</w:t>
            </w:r>
          </w:p>
        </w:tc>
      </w:tr>
      <w:tr>
        <w:tc>
          <w:tcPr>
            <w:tcW w:type="dxa" w:w="2232"/>
          </w:tcPr>
          <w:p>
            <w:r>
              <w:rPr>
                <w:rFonts w:ascii="Arial" w:hAnsi="Arial" w:eastAsia="微软雅黑"/>
                <w:b w:val="0"/>
                <w:i w:val="0"/>
                <w:sz w:val="18"/>
              </w:rPr>
              <w:t>CVRPLIB</w:t>
            </w:r>
          </w:p>
        </w:tc>
        <w:tc>
          <w:tcPr>
            <w:tcW w:type="dxa" w:w="3672"/>
          </w:tcPr>
          <w:p>
            <w:r>
              <w:rPr>
                <w:rFonts w:ascii="Arial" w:hAnsi="Arial" w:eastAsia="微软雅黑"/>
                <w:b w:val="0"/>
                <w:i w:val="0"/>
                <w:sz w:val="18"/>
              </w:rPr>
              <w:t>http://vrp.atd-lab.inf.puc-rio.br/index.php/en/</w:t>
            </w:r>
          </w:p>
        </w:tc>
        <w:tc>
          <w:tcPr>
            <w:tcW w:type="dxa" w:w="1944"/>
          </w:tcPr>
          <w:p>
            <w:r>
              <w:rPr>
                <w:rFonts w:ascii="Arial" w:hAnsi="Arial" w:eastAsia="微软雅黑"/>
                <w:b w:val="0"/>
                <w:i w:val="0"/>
                <w:sz w:val="18"/>
              </w:rPr>
              <w:t>标准 VRP 算例</w:t>
            </w:r>
          </w:p>
        </w:tc>
        <w:tc>
          <w:tcPr>
            <w:tcW w:type="dxa" w:w="1944"/>
          </w:tcPr>
          <w:p>
            <w:r>
              <w:rPr>
                <w:rFonts w:ascii="Arial" w:hAnsi="Arial" w:eastAsia="微软雅黑"/>
                <w:b w:val="0"/>
                <w:i w:val="0"/>
                <w:sz w:val="18"/>
              </w:rPr>
              <w:t>配送重排算法基准测试</w:t>
            </w:r>
          </w:p>
        </w:tc>
      </w:tr>
    </w:tbl>
    <w:p>
      <w:pPr>
        <w:spacing w:after="0"/>
      </w:pPr>
    </w:p>
    <w:p>
      <w:pPr>
        <w:spacing w:before="120" w:after="80"/>
      </w:pPr>
      <w:r>
        <w:rPr>
          <w:rFonts w:ascii="Arial" w:hAnsi="Arial" w:eastAsia="微软雅黑"/>
          <w:b/>
          <w:i w:val="0"/>
          <w:color w:val="2E548A"/>
          <w:sz w:val="25"/>
        </w:rPr>
        <w:t>7.2 领域知识来源</w:t>
      </w:r>
    </w:p>
    <w:p>
      <w:pPr>
        <w:pStyle w:val="ListBullet"/>
        <w:spacing w:after="40" w:line="300" w:lineRule="auto"/>
      </w:pPr>
      <w:r>
        <w:rPr>
          <w:rFonts w:ascii="Arial" w:hAnsi="Arial" w:eastAsia="微软雅黑"/>
          <w:b w:val="0"/>
          <w:i w:val="0"/>
          <w:sz w:val="21"/>
        </w:rPr>
        <w:t>WHO Model Guidance for TTSPPs，TRS 961 Annex 9：https://www.who.int/publications/m/item/trs961-annex9-modelguidanceforstoragetransport</w:t>
      </w:r>
    </w:p>
    <w:p>
      <w:pPr>
        <w:pStyle w:val="ListBullet"/>
        <w:spacing w:after="40" w:line="300" w:lineRule="auto"/>
      </w:pPr>
      <w:r>
        <w:rPr>
          <w:rFonts w:ascii="Arial" w:hAnsi="Arial" w:eastAsia="微软雅黑"/>
          <w:b w:val="0"/>
          <w:i w:val="0"/>
          <w:sz w:val="21"/>
        </w:rPr>
        <w:t>EU GDP Guidelines，2013/C 343/01：https://eur-lex.europa.eu/legal-content/EN/TXT/?uri=CELEX%3A32013C0343</w:t>
      </w:r>
    </w:p>
    <w:p>
      <w:pPr>
        <w:pStyle w:val="ListBullet"/>
        <w:spacing w:after="40" w:line="300" w:lineRule="auto"/>
      </w:pPr>
      <w:r>
        <w:rPr>
          <w:rFonts w:ascii="Arial" w:hAnsi="Arial" w:eastAsia="微软雅黑"/>
          <w:b w:val="0"/>
          <w:i w:val="0"/>
          <w:sz w:val="21"/>
        </w:rPr>
        <w:t>ICH Quality Guidelines：https://www.ich.org/page/quality-guidelines</w:t>
      </w:r>
    </w:p>
    <w:p>
      <w:pPr>
        <w:spacing w:before="120" w:after="80"/>
      </w:pPr>
      <w:r>
        <w:rPr>
          <w:rFonts w:ascii="Arial" w:hAnsi="Arial" w:eastAsia="微软雅黑"/>
          <w:b/>
          <w:i w:val="0"/>
          <w:color w:val="2E548A"/>
          <w:sz w:val="25"/>
        </w:rPr>
        <w:t>7.3 预处理与合成数据策略</w:t>
      </w:r>
    </w:p>
    <w:p>
      <w:pPr>
        <w:pStyle w:val="ListBullet"/>
        <w:spacing w:after="40" w:line="300" w:lineRule="auto"/>
      </w:pPr>
      <w:r>
        <w:rPr>
          <w:rFonts w:ascii="Arial" w:hAnsi="Arial" w:eastAsia="微软雅黑"/>
          <w:b w:val="0"/>
          <w:i w:val="0"/>
          <w:sz w:val="21"/>
        </w:rPr>
        <w:t>合并温度、GPS、订单、库存和车辆数据，统一时间戳与设备 ID。</w:t>
      </w:r>
    </w:p>
    <w:p>
      <w:pPr>
        <w:pStyle w:val="ListBullet"/>
        <w:spacing w:after="40" w:line="300" w:lineRule="auto"/>
      </w:pPr>
      <w:r>
        <w:rPr>
          <w:rFonts w:ascii="Arial" w:hAnsi="Arial" w:eastAsia="微软雅黑"/>
          <w:b w:val="0"/>
          <w:i w:val="0"/>
          <w:sz w:val="21"/>
        </w:rPr>
        <w:t>按时间窗重采样，计算温度均值、最大偏差、超限时长、MKT 和开门事件特征。</w:t>
      </w:r>
    </w:p>
    <w:p>
      <w:pPr>
        <w:pStyle w:val="ListBullet"/>
        <w:spacing w:after="40" w:line="300" w:lineRule="auto"/>
      </w:pPr>
      <w:r>
        <w:rPr>
          <w:rFonts w:ascii="Arial" w:hAnsi="Arial" w:eastAsia="微软雅黑"/>
          <w:b w:val="0"/>
          <w:i w:val="0"/>
          <w:sz w:val="21"/>
        </w:rPr>
        <w:t>对缺失值进行插值或标记，避免数据泄漏。</w:t>
      </w:r>
    </w:p>
    <w:p>
      <w:pPr>
        <w:pStyle w:val="ListBullet"/>
        <w:spacing w:after="40" w:line="300" w:lineRule="auto"/>
      </w:pPr>
      <w:r>
        <w:rPr>
          <w:rFonts w:ascii="Arial" w:hAnsi="Arial" w:eastAsia="微软雅黑"/>
          <w:b w:val="0"/>
          <w:i w:val="0"/>
          <w:sz w:val="21"/>
        </w:rPr>
        <w:t>使用时间顺序划分训练集、验证集和测试集。</w:t>
      </w:r>
    </w:p>
    <w:p>
      <w:pPr>
        <w:pStyle w:val="ListBullet"/>
        <w:spacing w:after="40" w:line="300" w:lineRule="auto"/>
      </w:pPr>
      <w:r>
        <w:rPr>
          <w:rFonts w:ascii="Arial" w:hAnsi="Arial" w:eastAsia="微软雅黑"/>
          <w:b w:val="0"/>
          <w:i w:val="0"/>
          <w:sz w:val="21"/>
        </w:rPr>
        <w:t>当公开数据不足以覆盖某些路径、城市或产品组合时，使用公开路网数据加 OSRM / OpenRouteService 生成合成配送网络，并模拟传感器时序。</w:t>
      </w:r>
    </w:p>
    <w:p>
      <w:pPr>
        <w:pStyle w:val="ListBullet"/>
        <w:spacing w:after="40" w:line="300" w:lineRule="auto"/>
      </w:pPr>
      <w:r>
        <w:rPr>
          <w:rFonts w:ascii="Arial" w:hAnsi="Arial" w:eastAsia="微软雅黑"/>
          <w:b w:val="0"/>
          <w:i w:val="0"/>
          <w:sz w:val="21"/>
        </w:rPr>
        <w:t>对 8,000 行规模的风险数据集采用交叉验证、类别权重和数据增强，避免过拟合。</w:t>
      </w:r>
    </w:p>
    <w:p>
      <w:pPr>
        <w:spacing w:before="200" w:after="80"/>
      </w:pPr>
      <w:r>
        <w:rPr>
          <w:rFonts w:ascii="Arial" w:hAnsi="Arial" w:eastAsia="微软雅黑"/>
          <w:b/>
          <w:i w:val="0"/>
          <w:color w:val="1F3B66"/>
          <w:sz w:val="30"/>
        </w:rPr>
        <w:t>八、实验与评估指标</w:t>
      </w:r>
    </w:p>
    <w:tbl>
      <w:tblPr>
        <w:tblStyle w:val="TableGrid"/>
        <w:tblW w:type="auto" w:w="0"/>
        <w:jc w:val="center"/>
        <w:tblLook w:firstColumn="1" w:firstRow="1" w:lastColumn="0" w:lastRow="0" w:noHBand="0" w:noVBand="1" w:val="04A0"/>
      </w:tblPr>
      <w:tblGrid>
        <w:gridCol w:w="4824"/>
        <w:gridCol w:w="4824"/>
      </w:tblGrid>
      <w:tr>
        <w:tc>
          <w:tcPr>
            <w:tcW w:type="dxa" w:w="2016"/>
          </w:tcPr>
          <w:p>
            <w:r>
              <w:rPr>
                <w:rFonts w:ascii="Arial" w:hAnsi="Arial" w:eastAsia="微软雅黑"/>
                <w:b/>
                <w:i w:val="0"/>
                <w:sz w:val="18"/>
              </w:rPr>
              <w:t>模块</w:t>
            </w:r>
          </w:p>
        </w:tc>
        <w:tc>
          <w:tcPr>
            <w:tcW w:type="dxa" w:w="7344"/>
          </w:tcPr>
          <w:p>
            <w:r>
              <w:rPr>
                <w:rFonts w:ascii="Arial" w:hAnsi="Arial" w:eastAsia="微软雅黑"/>
                <w:b/>
                <w:i w:val="0"/>
                <w:sz w:val="18"/>
              </w:rPr>
              <w:t>主要指标</w:t>
            </w:r>
          </w:p>
        </w:tc>
      </w:tr>
      <w:tr>
        <w:tc>
          <w:tcPr>
            <w:tcW w:type="dxa" w:w="2016"/>
          </w:tcPr>
          <w:p>
            <w:r>
              <w:rPr>
                <w:rFonts w:ascii="Arial" w:hAnsi="Arial" w:eastAsia="微软雅黑"/>
                <w:b w:val="0"/>
                <w:i w:val="0"/>
                <w:sz w:val="18"/>
              </w:rPr>
              <w:t>风险预测</w:t>
            </w:r>
          </w:p>
        </w:tc>
        <w:tc>
          <w:tcPr>
            <w:tcW w:type="dxa" w:w="7344"/>
          </w:tcPr>
          <w:p>
            <w:r>
              <w:rPr>
                <w:rFonts w:ascii="Arial" w:hAnsi="Arial" w:eastAsia="微软雅黑"/>
                <w:b w:val="0"/>
                <w:i w:val="0"/>
                <w:sz w:val="18"/>
              </w:rPr>
              <w:t>Accuracy、Precision、Recall、F1、AUC、PR-AUC、预警提前量</w:t>
            </w:r>
          </w:p>
        </w:tc>
      </w:tr>
      <w:tr>
        <w:tc>
          <w:tcPr>
            <w:tcW w:type="dxa" w:w="2016"/>
          </w:tcPr>
          <w:p>
            <w:r>
              <w:rPr>
                <w:rFonts w:ascii="Arial" w:hAnsi="Arial" w:eastAsia="微软雅黑"/>
                <w:b w:val="0"/>
                <w:i w:val="0"/>
                <w:sz w:val="18"/>
              </w:rPr>
              <w:t>处置决策</w:t>
            </w:r>
          </w:p>
        </w:tc>
        <w:tc>
          <w:tcPr>
            <w:tcW w:type="dxa" w:w="7344"/>
          </w:tcPr>
          <w:p>
            <w:r>
              <w:rPr>
                <w:rFonts w:ascii="Arial" w:hAnsi="Arial" w:eastAsia="微软雅黑"/>
                <w:b w:val="0"/>
                <w:i w:val="0"/>
                <w:sz w:val="18"/>
              </w:rPr>
              <w:t>与 QA 专家标注对比的准确率、一致率、规则覆盖率、Cohen’s kappa</w:t>
            </w:r>
          </w:p>
        </w:tc>
      </w:tr>
      <w:tr>
        <w:tc>
          <w:tcPr>
            <w:tcW w:type="dxa" w:w="2016"/>
          </w:tcPr>
          <w:p>
            <w:r>
              <w:rPr>
                <w:rFonts w:ascii="Arial" w:hAnsi="Arial" w:eastAsia="微软雅黑"/>
                <w:b w:val="0"/>
                <w:i w:val="0"/>
                <w:sz w:val="18"/>
              </w:rPr>
              <w:t>根因诊断</w:t>
            </w:r>
          </w:p>
        </w:tc>
        <w:tc>
          <w:tcPr>
            <w:tcW w:type="dxa" w:w="7344"/>
          </w:tcPr>
          <w:p>
            <w:r>
              <w:rPr>
                <w:rFonts w:ascii="Arial" w:hAnsi="Arial" w:eastAsia="微软雅黑"/>
                <w:b w:val="0"/>
                <w:i w:val="0"/>
                <w:sz w:val="18"/>
              </w:rPr>
              <w:t>Top-1 / Top-3 准确率、宏 F1</w:t>
            </w:r>
          </w:p>
        </w:tc>
      </w:tr>
      <w:tr>
        <w:tc>
          <w:tcPr>
            <w:tcW w:type="dxa" w:w="2016"/>
          </w:tcPr>
          <w:p>
            <w:r>
              <w:rPr>
                <w:rFonts w:ascii="Arial" w:hAnsi="Arial" w:eastAsia="微软雅黑"/>
                <w:b w:val="0"/>
                <w:i w:val="0"/>
                <w:sz w:val="18"/>
              </w:rPr>
              <w:t>配送优化</w:t>
            </w:r>
          </w:p>
        </w:tc>
        <w:tc>
          <w:tcPr>
            <w:tcW w:type="dxa" w:w="7344"/>
          </w:tcPr>
          <w:p>
            <w:r>
              <w:rPr>
                <w:rFonts w:ascii="Arial" w:hAnsi="Arial" w:eastAsia="微软雅黑"/>
                <w:b w:val="0"/>
                <w:i w:val="0"/>
                <w:sz w:val="18"/>
              </w:rPr>
              <w:t>准时率、报废损失、总运输距离 / 时间、约束满足率、相对贪心与 CP-SAT 基线的改善幅度</w:t>
            </w:r>
          </w:p>
        </w:tc>
      </w:tr>
      <w:tr>
        <w:tc>
          <w:tcPr>
            <w:tcW w:type="dxa" w:w="2016"/>
          </w:tcPr>
          <w:p>
            <w:r>
              <w:rPr>
                <w:rFonts w:ascii="Arial" w:hAnsi="Arial" w:eastAsia="微软雅黑"/>
                <w:b w:val="0"/>
                <w:i w:val="0"/>
                <w:sz w:val="18"/>
              </w:rPr>
              <w:t>认知问答</w:t>
            </w:r>
          </w:p>
        </w:tc>
        <w:tc>
          <w:tcPr>
            <w:tcW w:type="dxa" w:w="7344"/>
          </w:tcPr>
          <w:p>
            <w:r>
              <w:rPr>
                <w:rFonts w:ascii="Arial" w:hAnsi="Arial" w:eastAsia="微软雅黑"/>
                <w:b w:val="0"/>
                <w:i w:val="0"/>
                <w:sz w:val="18"/>
              </w:rPr>
              <w:t>答案准确率、证据溯源覆盖率、未依据证据回答率、平均响应时间</w:t>
            </w:r>
          </w:p>
        </w:tc>
      </w:tr>
      <w:tr>
        <w:tc>
          <w:tcPr>
            <w:tcW w:type="dxa" w:w="2016"/>
          </w:tcPr>
          <w:p>
            <w:r>
              <w:rPr>
                <w:rFonts w:ascii="Arial" w:hAnsi="Arial" w:eastAsia="微软雅黑"/>
                <w:b w:val="0"/>
                <w:i w:val="0"/>
                <w:sz w:val="18"/>
              </w:rPr>
              <w:t>系统级</w:t>
            </w:r>
          </w:p>
        </w:tc>
        <w:tc>
          <w:tcPr>
            <w:tcW w:type="dxa" w:w="7344"/>
          </w:tcPr>
          <w:p>
            <w:r>
              <w:rPr>
                <w:rFonts w:ascii="Arial" w:hAnsi="Arial" w:eastAsia="微软雅黑"/>
                <w:b w:val="0"/>
                <w:i w:val="0"/>
                <w:sz w:val="18"/>
              </w:rPr>
              <w:t>端到端响应时间、解释覆盖率、审计报告完整性</w:t>
            </w:r>
          </w:p>
        </w:tc>
      </w:tr>
    </w:tbl>
    <w:p>
      <w:pPr>
        <w:spacing w:after="0"/>
      </w:pPr>
    </w:p>
    <w:p>
      <w:pPr>
        <w:spacing w:after="80" w:line="300" w:lineRule="auto"/>
      </w:pPr>
      <w:r>
        <w:rPr>
          <w:rFonts w:ascii="Arial" w:hAnsi="Arial" w:eastAsia="微软雅黑"/>
          <w:b w:val="0"/>
          <w:i w:val="0"/>
          <w:sz w:val="21"/>
        </w:rPr>
        <w:t>基线设计：风险预测采用逻辑回归、决策树、LightGBM、XGBoost；根因诊断采用规则匹配、朴素贝叶斯、XGBoost；路径优化采用贪心最近邻 / 优先级启发式、OR-Tools / CP-SAT、遗传算法。</w:t>
      </w:r>
    </w:p>
    <w:p>
      <w:pPr>
        <w:spacing w:before="200" w:after="80"/>
      </w:pPr>
      <w:r>
        <w:rPr>
          <w:rFonts w:ascii="Arial" w:hAnsi="Arial" w:eastAsia="微软雅黑"/>
          <w:b/>
          <w:i w:val="0"/>
          <w:color w:val="1F3B66"/>
          <w:sz w:val="30"/>
        </w:rPr>
        <w:t>九、MVP 与范围控制</w:t>
      </w:r>
    </w:p>
    <w:p>
      <w:pPr>
        <w:spacing w:after="80" w:line="300" w:lineRule="auto"/>
      </w:pPr>
      <w:r>
        <w:rPr>
          <w:rFonts w:ascii="Arial" w:hAnsi="Arial" w:eastAsia="微软雅黑"/>
          <w:b/>
          <w:i w:val="0"/>
          <w:sz w:val="21"/>
        </w:rPr>
        <w:t>MVP 范围内：</w:t>
      </w:r>
    </w:p>
    <w:p>
      <w:pPr>
        <w:pStyle w:val="ListBullet"/>
        <w:spacing w:after="40" w:line="300" w:lineRule="auto"/>
      </w:pPr>
      <w:r>
        <w:rPr>
          <w:rFonts w:ascii="Arial" w:hAnsi="Arial" w:eastAsia="微软雅黑"/>
          <w:b w:val="0"/>
          <w:i w:val="0"/>
          <w:sz w:val="21"/>
        </w:rPr>
        <w:t>场景限定为新加坡或某一城市区域配送网络。</w:t>
      </w:r>
    </w:p>
    <w:p>
      <w:pPr>
        <w:pStyle w:val="ListBullet"/>
        <w:spacing w:after="40" w:line="300" w:lineRule="auto"/>
      </w:pPr>
      <w:r>
        <w:rPr>
          <w:rFonts w:ascii="Arial" w:hAnsi="Arial" w:eastAsia="微软雅黑"/>
          <w:b w:val="0"/>
          <w:i w:val="0"/>
          <w:sz w:val="21"/>
        </w:rPr>
        <w:t>产品限定为 1–2 类，例如 2–8°C 疫苗和 -20°C 冷冻药品。</w:t>
      </w:r>
    </w:p>
    <w:p>
      <w:pPr>
        <w:pStyle w:val="ListBullet"/>
        <w:spacing w:after="40" w:line="300" w:lineRule="auto"/>
      </w:pPr>
      <w:r>
        <w:rPr>
          <w:rFonts w:ascii="Arial" w:hAnsi="Arial" w:eastAsia="微软雅黑"/>
          <w:b w:val="0"/>
          <w:i w:val="0"/>
          <w:sz w:val="21"/>
        </w:rPr>
        <w:t>先完成规则引擎 MVP，保证给定温度事件能输出可解释处置建议。</w:t>
      </w:r>
    </w:p>
    <w:p>
      <w:pPr>
        <w:pStyle w:val="ListBullet"/>
        <w:spacing w:after="40" w:line="300" w:lineRule="auto"/>
      </w:pPr>
      <w:r>
        <w:rPr>
          <w:rFonts w:ascii="Arial" w:hAnsi="Arial" w:eastAsia="微软雅黑"/>
          <w:b w:val="0"/>
          <w:i w:val="0"/>
          <w:sz w:val="21"/>
        </w:rPr>
        <w:t>使用公开数据集加规则生成的模拟传感器时序。</w:t>
      </w:r>
    </w:p>
    <w:p>
      <w:pPr>
        <w:pStyle w:val="ListBullet"/>
        <w:spacing w:after="40" w:line="300" w:lineRule="auto"/>
      </w:pPr>
      <w:r>
        <w:rPr>
          <w:rFonts w:ascii="Arial" w:hAnsi="Arial" w:eastAsia="微软雅黑"/>
          <w:b w:val="0"/>
          <w:i w:val="0"/>
          <w:sz w:val="21"/>
        </w:rPr>
        <w:t>先做贪心路径基线，再引入 OR-Tools / 遗传算法并比较提升。</w:t>
      </w:r>
    </w:p>
    <w:p>
      <w:pPr>
        <w:pStyle w:val="ListBullet"/>
        <w:spacing w:after="40" w:line="300" w:lineRule="auto"/>
      </w:pPr>
      <w:r>
        <w:rPr>
          <w:rFonts w:ascii="Arial" w:hAnsi="Arial" w:eastAsia="微软雅黑"/>
          <w:b w:val="0"/>
          <w:i w:val="0"/>
          <w:sz w:val="21"/>
        </w:rPr>
        <w:t>界面包含异常列表、处置建议、路线可视化和问答框。</w:t>
      </w:r>
    </w:p>
    <w:p>
      <w:pPr>
        <w:spacing w:after="80" w:line="300" w:lineRule="auto"/>
      </w:pPr>
      <w:r>
        <w:rPr>
          <w:rFonts w:ascii="Arial" w:hAnsi="Arial" w:eastAsia="微软雅黑"/>
          <w:b/>
          <w:i w:val="0"/>
          <w:sz w:val="21"/>
        </w:rPr>
        <w:t>进阶扩展：</w:t>
      </w:r>
    </w:p>
    <w:p>
      <w:pPr>
        <w:pStyle w:val="ListBullet"/>
        <w:spacing w:after="40" w:line="300" w:lineRule="auto"/>
      </w:pPr>
      <w:r>
        <w:rPr>
          <w:rFonts w:ascii="Arial" w:hAnsi="Arial" w:eastAsia="微软雅黑"/>
          <w:b w:val="0"/>
          <w:i w:val="0"/>
          <w:sz w:val="21"/>
        </w:rPr>
        <w:t>实时时间序列提前预警。</w:t>
      </w:r>
    </w:p>
    <w:p>
      <w:pPr>
        <w:pStyle w:val="ListBullet"/>
        <w:spacing w:after="40" w:line="300" w:lineRule="auto"/>
      </w:pPr>
      <w:r>
        <w:rPr>
          <w:rFonts w:ascii="Arial" w:hAnsi="Arial" w:eastAsia="微软雅黑"/>
          <w:b w:val="0"/>
          <w:i w:val="0"/>
          <w:sz w:val="21"/>
        </w:rPr>
        <w:t>多温区多仓库联合优化。</w:t>
      </w:r>
    </w:p>
    <w:p>
      <w:pPr>
        <w:pStyle w:val="ListBullet"/>
        <w:spacing w:after="40" w:line="300" w:lineRule="auto"/>
      </w:pPr>
      <w:r>
        <w:rPr>
          <w:rFonts w:ascii="Arial" w:hAnsi="Arial" w:eastAsia="微软雅黑"/>
          <w:b w:val="0"/>
          <w:i w:val="0"/>
          <w:sz w:val="21"/>
        </w:rPr>
        <w:t>动态地图与实时车辆位置。</w:t>
      </w:r>
    </w:p>
    <w:p>
      <w:pPr>
        <w:pStyle w:val="ListBullet"/>
        <w:spacing w:after="40" w:line="300" w:lineRule="auto"/>
      </w:pPr>
      <w:r>
        <w:rPr>
          <w:rFonts w:ascii="Arial" w:hAnsi="Arial" w:eastAsia="微软雅黑"/>
          <w:b w:val="0"/>
          <w:i w:val="0"/>
          <w:sz w:val="21"/>
        </w:rPr>
        <w:t>更完整的多语言合规问答。</w:t>
      </w:r>
    </w:p>
    <w:p>
      <w:pPr>
        <w:pStyle w:val="ListBullet"/>
        <w:spacing w:after="40" w:line="300" w:lineRule="auto"/>
      </w:pPr>
      <w:r>
        <w:rPr>
          <w:rFonts w:ascii="Arial" w:hAnsi="Arial" w:eastAsia="微软雅黑"/>
          <w:b w:val="0"/>
          <w:i w:val="0"/>
          <w:sz w:val="21"/>
        </w:rPr>
        <w:t>与 ERP / WMS 的模拟接口。</w:t>
      </w:r>
    </w:p>
    <w:p>
      <w:pPr>
        <w:spacing w:after="80" w:line="300" w:lineRule="auto"/>
      </w:pPr>
      <w:r>
        <w:rPr>
          <w:rFonts w:ascii="Arial" w:hAnsi="Arial" w:eastAsia="微软雅黑"/>
          <w:b/>
          <w:i w:val="0"/>
          <w:sz w:val="21"/>
        </w:rPr>
        <w:t>明确排除：</w:t>
      </w:r>
    </w:p>
    <w:p>
      <w:pPr>
        <w:pStyle w:val="ListBullet"/>
        <w:spacing w:after="40" w:line="300" w:lineRule="auto"/>
      </w:pPr>
      <w:r>
        <w:rPr>
          <w:rFonts w:ascii="Arial" w:hAnsi="Arial" w:eastAsia="微软雅黑"/>
          <w:b w:val="0"/>
          <w:i w:val="0"/>
          <w:sz w:val="21"/>
        </w:rPr>
        <w:t>生产级 ERP / WMS 集成。</w:t>
      </w:r>
    </w:p>
    <w:p>
      <w:pPr>
        <w:pStyle w:val="ListBullet"/>
        <w:spacing w:after="40" w:line="300" w:lineRule="auto"/>
      </w:pPr>
      <w:r>
        <w:rPr>
          <w:rFonts w:ascii="Arial" w:hAnsi="Arial" w:eastAsia="微软雅黑"/>
          <w:b w:val="0"/>
          <w:i w:val="0"/>
          <w:sz w:val="21"/>
        </w:rPr>
        <w:t>药品注册、临床或正式合规认证。</w:t>
      </w:r>
    </w:p>
    <w:p>
      <w:pPr>
        <w:pStyle w:val="ListBullet"/>
        <w:spacing w:after="40" w:line="300" w:lineRule="auto"/>
      </w:pPr>
      <w:r>
        <w:rPr>
          <w:rFonts w:ascii="Arial" w:hAnsi="Arial" w:eastAsia="微软雅黑"/>
          <w:b w:val="0"/>
          <w:i w:val="0"/>
          <w:sz w:val="21"/>
        </w:rPr>
        <w:t>真实 IoT 硬件部署。</w:t>
      </w:r>
    </w:p>
    <w:p>
      <w:pPr>
        <w:pStyle w:val="ListBullet"/>
        <w:spacing w:after="40" w:line="300" w:lineRule="auto"/>
      </w:pPr>
      <w:r>
        <w:rPr>
          <w:rFonts w:ascii="Arial" w:hAnsi="Arial" w:eastAsia="微软雅黑"/>
          <w:b w:val="0"/>
          <w:i w:val="0"/>
          <w:sz w:val="21"/>
        </w:rPr>
        <w:t>真实患者数据或受保护医疗数据。</w:t>
      </w:r>
    </w:p>
    <w:p>
      <w:pPr>
        <w:spacing w:before="200" w:after="80"/>
      </w:pPr>
      <w:r>
        <w:rPr>
          <w:rFonts w:ascii="Arial" w:hAnsi="Arial" w:eastAsia="微软雅黑"/>
          <w:b/>
          <w:i w:val="0"/>
          <w:color w:val="1F3B66"/>
          <w:sz w:val="30"/>
        </w:rPr>
        <w:t>十、项目计划与团队分工（4 人版）</w:t>
      </w:r>
    </w:p>
    <w:p>
      <w:pPr>
        <w:spacing w:before="120" w:after="80"/>
      </w:pPr>
      <w:r>
        <w:rPr>
          <w:rFonts w:ascii="Arial" w:hAnsi="Arial" w:eastAsia="微软雅黑"/>
          <w:b/>
          <w:i w:val="0"/>
          <w:color w:val="2E548A"/>
          <w:sz w:val="25"/>
        </w:rPr>
        <w:t>10.1 成员角色与主责</w:t>
      </w:r>
    </w:p>
    <w:tbl>
      <w:tblPr>
        <w:tblStyle w:val="TableGrid"/>
        <w:tblW w:type="auto" w:w="0"/>
        <w:jc w:val="center"/>
        <w:tblLook w:firstColumn="1" w:firstRow="1" w:lastColumn="0" w:lastRow="0" w:noHBand="0" w:noVBand="1" w:val="04A0"/>
      </w:tblPr>
      <w:tblGrid>
        <w:gridCol w:w="3216"/>
        <w:gridCol w:w="3216"/>
        <w:gridCol w:w="3216"/>
      </w:tblGrid>
      <w:tr>
        <w:tc>
          <w:tcPr>
            <w:tcW w:type="dxa" w:w="1152"/>
          </w:tcPr>
          <w:p>
            <w:r>
              <w:rPr>
                <w:rFonts w:ascii="Arial" w:hAnsi="Arial" w:eastAsia="微软雅黑"/>
                <w:b/>
                <w:i w:val="0"/>
                <w:sz w:val="18"/>
              </w:rPr>
              <w:t>成员</w:t>
            </w:r>
          </w:p>
        </w:tc>
        <w:tc>
          <w:tcPr>
            <w:tcW w:type="dxa" w:w="3888"/>
          </w:tcPr>
          <w:p>
            <w:r>
              <w:rPr>
                <w:rFonts w:ascii="Arial" w:hAnsi="Arial" w:eastAsia="微软雅黑"/>
                <w:b/>
                <w:i w:val="0"/>
                <w:sz w:val="18"/>
              </w:rPr>
              <w:t>主责</w:t>
            </w:r>
          </w:p>
        </w:tc>
        <w:tc>
          <w:tcPr>
            <w:tcW w:type="dxa" w:w="4320"/>
          </w:tcPr>
          <w:p>
            <w:r>
              <w:rPr>
                <w:rFonts w:ascii="Arial" w:hAnsi="Arial" w:eastAsia="微软雅黑"/>
                <w:b/>
                <w:i w:val="0"/>
                <w:sz w:val="18"/>
              </w:rPr>
              <w:t>对应模块</w:t>
            </w:r>
          </w:p>
        </w:tc>
      </w:tr>
      <w:tr>
        <w:tc>
          <w:tcPr>
            <w:tcW w:type="dxa" w:w="1152"/>
          </w:tcPr>
          <w:p>
            <w:r>
              <w:rPr>
                <w:rFonts w:ascii="Arial" w:hAnsi="Arial" w:eastAsia="微软雅黑"/>
                <w:b w:val="0"/>
                <w:i w:val="0"/>
                <w:sz w:val="18"/>
              </w:rPr>
              <w:t>A</w:t>
            </w:r>
          </w:p>
        </w:tc>
        <w:tc>
          <w:tcPr>
            <w:tcW w:type="dxa" w:w="3888"/>
          </w:tcPr>
          <w:p>
            <w:r>
              <w:rPr>
                <w:rFonts w:ascii="Arial" w:hAnsi="Arial" w:eastAsia="微软雅黑"/>
                <w:b w:val="0"/>
                <w:i w:val="0"/>
                <w:sz w:val="18"/>
              </w:rPr>
              <w:t>项目负责人、领域规则、决策引擎</w:t>
            </w:r>
          </w:p>
        </w:tc>
        <w:tc>
          <w:tcPr>
            <w:tcW w:type="dxa" w:w="4320"/>
          </w:tcPr>
          <w:p>
            <w:r>
              <w:rPr>
                <w:rFonts w:ascii="Arial" w:hAnsi="Arial" w:eastAsia="微软雅黑"/>
                <w:b w:val="0"/>
                <w:i w:val="0"/>
                <w:sz w:val="18"/>
              </w:rPr>
              <w:t>决策自动化、合规规则、报告</w:t>
            </w:r>
          </w:p>
        </w:tc>
      </w:tr>
      <w:tr>
        <w:tc>
          <w:tcPr>
            <w:tcW w:type="dxa" w:w="1152"/>
          </w:tcPr>
          <w:p>
            <w:r>
              <w:rPr>
                <w:rFonts w:ascii="Arial" w:hAnsi="Arial" w:eastAsia="微软雅黑"/>
                <w:b w:val="0"/>
                <w:i w:val="0"/>
                <w:sz w:val="18"/>
              </w:rPr>
              <w:t>B</w:t>
            </w:r>
          </w:p>
        </w:tc>
        <w:tc>
          <w:tcPr>
            <w:tcW w:type="dxa" w:w="3888"/>
          </w:tcPr>
          <w:p>
            <w:r>
              <w:rPr>
                <w:rFonts w:ascii="Arial" w:hAnsi="Arial" w:eastAsia="微软雅黑"/>
                <w:b w:val="0"/>
                <w:i w:val="0"/>
                <w:sz w:val="18"/>
              </w:rPr>
              <w:t>数据与机器学习</w:t>
            </w:r>
          </w:p>
        </w:tc>
        <w:tc>
          <w:tcPr>
            <w:tcW w:type="dxa" w:w="4320"/>
          </w:tcPr>
          <w:p>
            <w:r>
              <w:rPr>
                <w:rFonts w:ascii="Arial" w:hAnsi="Arial" w:eastAsia="微软雅黑"/>
                <w:b w:val="0"/>
                <w:i w:val="0"/>
                <w:sz w:val="18"/>
              </w:rPr>
              <w:t>知识发现、风险预测、根因诊断、实验评估</w:t>
            </w:r>
          </w:p>
        </w:tc>
      </w:tr>
      <w:tr>
        <w:tc>
          <w:tcPr>
            <w:tcW w:type="dxa" w:w="1152"/>
          </w:tcPr>
          <w:p>
            <w:r>
              <w:rPr>
                <w:rFonts w:ascii="Arial" w:hAnsi="Arial" w:eastAsia="微软雅黑"/>
                <w:b w:val="0"/>
                <w:i w:val="0"/>
                <w:sz w:val="18"/>
              </w:rPr>
              <w:t>C</w:t>
            </w:r>
          </w:p>
        </w:tc>
        <w:tc>
          <w:tcPr>
            <w:tcW w:type="dxa" w:w="3888"/>
          </w:tcPr>
          <w:p>
            <w:r>
              <w:rPr>
                <w:rFonts w:ascii="Arial" w:hAnsi="Arial" w:eastAsia="微软雅黑"/>
                <w:b w:val="0"/>
                <w:i w:val="0"/>
                <w:sz w:val="18"/>
              </w:rPr>
              <w:t>配送优化</w:t>
            </w:r>
          </w:p>
        </w:tc>
        <w:tc>
          <w:tcPr>
            <w:tcW w:type="dxa" w:w="4320"/>
          </w:tcPr>
          <w:p>
            <w:r>
              <w:rPr>
                <w:rFonts w:ascii="Arial" w:hAnsi="Arial" w:eastAsia="微软雅黑"/>
                <w:b w:val="0"/>
                <w:i w:val="0"/>
                <w:sz w:val="18"/>
              </w:rPr>
              <w:t>资源优化、VRPTW、OR-Tools / 遗传算法</w:t>
            </w:r>
          </w:p>
        </w:tc>
      </w:tr>
      <w:tr>
        <w:tc>
          <w:tcPr>
            <w:tcW w:type="dxa" w:w="1152"/>
          </w:tcPr>
          <w:p>
            <w:r>
              <w:rPr>
                <w:rFonts w:ascii="Arial" w:hAnsi="Arial" w:eastAsia="微软雅黑"/>
                <w:b w:val="0"/>
                <w:i w:val="0"/>
                <w:sz w:val="18"/>
              </w:rPr>
              <w:t>D</w:t>
            </w:r>
          </w:p>
        </w:tc>
        <w:tc>
          <w:tcPr>
            <w:tcW w:type="dxa" w:w="3888"/>
          </w:tcPr>
          <w:p>
            <w:r>
              <w:rPr>
                <w:rFonts w:ascii="Arial" w:hAnsi="Arial" w:eastAsia="微软雅黑"/>
                <w:b w:val="0"/>
                <w:i w:val="0"/>
                <w:sz w:val="18"/>
              </w:rPr>
              <w:t>知识图谱、问答、集成与前端</w:t>
            </w:r>
          </w:p>
        </w:tc>
        <w:tc>
          <w:tcPr>
            <w:tcW w:type="dxa" w:w="4320"/>
          </w:tcPr>
          <w:p>
            <w:r>
              <w:rPr>
                <w:rFonts w:ascii="Arial" w:hAnsi="Arial" w:eastAsia="微软雅黑"/>
                <w:b w:val="0"/>
                <w:i w:val="0"/>
                <w:sz w:val="18"/>
              </w:rPr>
              <w:t>认知系统、后端 API、界面、视频演示</w:t>
            </w:r>
          </w:p>
        </w:tc>
      </w:tr>
    </w:tbl>
    <w:p>
      <w:pPr>
        <w:spacing w:after="0"/>
      </w:pPr>
    </w:p>
    <w:p>
      <w:pPr>
        <w:spacing w:before="120" w:after="80"/>
      </w:pPr>
      <w:r>
        <w:rPr>
          <w:rFonts w:ascii="Arial" w:hAnsi="Arial" w:eastAsia="微软雅黑"/>
          <w:b/>
          <w:i w:val="0"/>
          <w:color w:val="2E548A"/>
          <w:sz w:val="25"/>
        </w:rPr>
        <w:t>10.2 逐周任务</w:t>
      </w:r>
    </w:p>
    <w:p>
      <w:pPr>
        <w:spacing w:before="120" w:after="80"/>
      </w:pPr>
      <w:r>
        <w:rPr>
          <w:rFonts w:ascii="Arial" w:hAnsi="Arial" w:eastAsia="微软雅黑"/>
          <w:b/>
          <w:i w:val="0"/>
          <w:color w:val="2E548A"/>
          <w:sz w:val="22"/>
        </w:rPr>
        <w:t>W0：9 月 3–13 日，提案冲刺</w:t>
      </w:r>
    </w:p>
    <w:p>
      <w:pPr>
        <w:spacing w:after="40" w:line="300" w:lineRule="auto"/>
      </w:pPr>
      <w:r>
        <w:rPr>
          <w:rFonts w:ascii="Arial" w:hAnsi="Arial" w:eastAsia="微软雅黑"/>
          <w:b/>
          <w:i w:val="0"/>
          <w:sz w:val="21"/>
        </w:rPr>
        <w:t>成员A：</w:t>
      </w:r>
      <w:r>
        <w:rPr>
          <w:rFonts w:ascii="Arial" w:hAnsi="Arial" w:eastAsia="微软雅黑"/>
          <w:b w:val="0"/>
          <w:i w:val="0"/>
          <w:sz w:val="21"/>
        </w:rPr>
        <w:t>确定项目边界、MVP 范围和 1–2 类产品；起草 Introduction、Problem Statement、System Design；整理 WHO / GDP / ICH 规则来源。</w:t>
      </w:r>
    </w:p>
    <w:p>
      <w:pPr>
        <w:spacing w:after="40" w:line="300" w:lineRule="auto"/>
      </w:pPr>
      <w:r>
        <w:rPr>
          <w:rFonts w:ascii="Arial" w:hAnsi="Arial" w:eastAsia="微软雅黑"/>
          <w:b/>
          <w:i w:val="0"/>
          <w:sz w:val="21"/>
        </w:rPr>
        <w:t>成员B：</w:t>
      </w:r>
      <w:r>
        <w:rPr>
          <w:rFonts w:ascii="Arial" w:hAnsi="Arial" w:eastAsia="微软雅黑"/>
          <w:b w:val="0"/>
          <w:i w:val="0"/>
          <w:sz w:val="21"/>
        </w:rPr>
        <w:t>确认三个主数据集和补充数据集可下载性，记录字段、规模、许可；撰写 Data Collection 与预处理计划。</w:t>
      </w:r>
    </w:p>
    <w:p>
      <w:pPr>
        <w:spacing w:after="40" w:line="300" w:lineRule="auto"/>
      </w:pPr>
      <w:r>
        <w:rPr>
          <w:rFonts w:ascii="Arial" w:hAnsi="Arial" w:eastAsia="微软雅黑"/>
          <w:b/>
          <w:i w:val="0"/>
          <w:sz w:val="21"/>
        </w:rPr>
        <w:t>成员C：</w:t>
      </w:r>
      <w:r>
        <w:rPr>
          <w:rFonts w:ascii="Arial" w:hAnsi="Arial" w:eastAsia="微软雅黑"/>
          <w:b w:val="0"/>
          <w:i w:val="0"/>
          <w:sz w:val="21"/>
        </w:rPr>
        <w:t>确认 CVRPLIB 与 OR-Tools 可行性；定义 VRPTW 的输入、输出、目标函数；撰写优化模块实验设计。</w:t>
      </w:r>
    </w:p>
    <w:p>
      <w:pPr>
        <w:spacing w:after="40" w:line="300" w:lineRule="auto"/>
      </w:pPr>
      <w:r>
        <w:rPr>
          <w:rFonts w:ascii="Arial" w:hAnsi="Arial" w:eastAsia="微软雅黑"/>
          <w:b/>
          <w:i w:val="0"/>
          <w:sz w:val="21"/>
        </w:rPr>
        <w:t>成员D：</w:t>
      </w:r>
      <w:r>
        <w:rPr>
          <w:rFonts w:ascii="Arial" w:hAnsi="Arial" w:eastAsia="微软雅黑"/>
          <w:b w:val="0"/>
          <w:i w:val="0"/>
          <w:sz w:val="21"/>
        </w:rPr>
        <w:t>设计知识图谱实体关系初版；确认 Neo4j 或 NetworkX 方案；撰写系统架构与 Demo 方案。</w:t>
      </w:r>
    </w:p>
    <w:p>
      <w:pPr>
        <w:spacing w:after="120" w:line="300" w:lineRule="auto"/>
      </w:pPr>
      <w:r>
        <w:rPr>
          <w:rFonts w:ascii="Arial" w:hAnsi="Arial" w:eastAsia="微软雅黑"/>
          <w:b/>
          <w:i w:val="0"/>
          <w:sz w:val="21"/>
        </w:rPr>
        <w:t>当周交付：</w:t>
      </w:r>
      <w:r>
        <w:rPr>
          <w:rFonts w:ascii="Arial" w:hAnsi="Arial" w:eastAsia="微软雅黑"/>
          <w:b w:val="0"/>
          <w:i w:val="0"/>
          <w:sz w:val="21"/>
        </w:rPr>
        <w:t>完成并提交 Proposal。</w:t>
      </w:r>
    </w:p>
    <w:p>
      <w:pPr>
        <w:spacing w:before="120" w:after="80"/>
      </w:pPr>
      <w:r>
        <w:rPr>
          <w:rFonts w:ascii="Arial" w:hAnsi="Arial" w:eastAsia="微软雅黑"/>
          <w:b/>
          <w:i w:val="0"/>
          <w:color w:val="2E548A"/>
          <w:sz w:val="22"/>
        </w:rPr>
        <w:t>W1：9 月 14–20 日，数据与规则准备</w:t>
      </w:r>
    </w:p>
    <w:p>
      <w:pPr>
        <w:spacing w:after="40" w:line="300" w:lineRule="auto"/>
      </w:pPr>
      <w:r>
        <w:rPr>
          <w:rFonts w:ascii="Arial" w:hAnsi="Arial" w:eastAsia="微软雅黑"/>
          <w:b/>
          <w:i w:val="0"/>
          <w:sz w:val="21"/>
        </w:rPr>
        <w:t>成员A：</w:t>
      </w:r>
      <w:r>
        <w:rPr>
          <w:rFonts w:ascii="Arial" w:hAnsi="Arial" w:eastAsia="微软雅黑"/>
          <w:b w:val="0"/>
          <w:i w:val="0"/>
          <w:sz w:val="21"/>
        </w:rPr>
        <w:t>整理 1–2 类产品的处置规则表；定义放行 / 隔离 / 复验 / 报废 / 补发的判定字段、阈值和规则路径。</w:t>
      </w:r>
    </w:p>
    <w:p>
      <w:pPr>
        <w:spacing w:after="40" w:line="300" w:lineRule="auto"/>
      </w:pPr>
      <w:r>
        <w:rPr>
          <w:rFonts w:ascii="Arial" w:hAnsi="Arial" w:eastAsia="微软雅黑"/>
          <w:b/>
          <w:i w:val="0"/>
          <w:sz w:val="21"/>
        </w:rPr>
        <w:t>成员B：</w:t>
      </w:r>
      <w:r>
        <w:rPr>
          <w:rFonts w:ascii="Arial" w:hAnsi="Arial" w:eastAsia="微软雅黑"/>
          <w:b w:val="0"/>
          <w:i w:val="0"/>
          <w:sz w:val="21"/>
        </w:rPr>
        <w:t>下载并统一数据集；做缺失值、异常值处理；构建基础特征，包括超限时长、MKT、开门次数、运输阶段等；输出数据字典。</w:t>
      </w:r>
    </w:p>
    <w:p>
      <w:pPr>
        <w:spacing w:after="40" w:line="300" w:lineRule="auto"/>
      </w:pPr>
      <w:r>
        <w:rPr>
          <w:rFonts w:ascii="Arial" w:hAnsi="Arial" w:eastAsia="微软雅黑"/>
          <w:b/>
          <w:i w:val="0"/>
          <w:sz w:val="21"/>
        </w:rPr>
        <w:t>成员C：</w:t>
      </w:r>
      <w:r>
        <w:rPr>
          <w:rFonts w:ascii="Arial" w:hAnsi="Arial" w:eastAsia="微软雅黑"/>
          <w:b w:val="0"/>
          <w:i w:val="0"/>
          <w:sz w:val="21"/>
        </w:rPr>
        <w:t>生成或选定 20–50 个节点的 VRPTW 实例；实现贪心基线；定义约束和目标函数。</w:t>
      </w:r>
    </w:p>
    <w:p>
      <w:pPr>
        <w:spacing w:after="40" w:line="300" w:lineRule="auto"/>
      </w:pPr>
      <w:r>
        <w:rPr>
          <w:rFonts w:ascii="Arial" w:hAnsi="Arial" w:eastAsia="微软雅黑"/>
          <w:b/>
          <w:i w:val="0"/>
          <w:sz w:val="21"/>
        </w:rPr>
        <w:t>成员D：</w:t>
      </w:r>
      <w:r>
        <w:rPr>
          <w:rFonts w:ascii="Arial" w:hAnsi="Arial" w:eastAsia="微软雅黑"/>
          <w:b w:val="0"/>
          <w:i w:val="0"/>
          <w:sz w:val="21"/>
        </w:rPr>
        <w:t>搭建 GitHub 仓库和目录结构；配置开发环境；完成知识图谱 schema v1。</w:t>
      </w:r>
    </w:p>
    <w:p>
      <w:pPr>
        <w:spacing w:after="120" w:line="300" w:lineRule="auto"/>
      </w:pPr>
      <w:r>
        <w:rPr>
          <w:rFonts w:ascii="Arial" w:hAnsi="Arial" w:eastAsia="微软雅黑"/>
          <w:b/>
          <w:i w:val="0"/>
          <w:sz w:val="21"/>
        </w:rPr>
        <w:t>当周交付：</w:t>
      </w:r>
      <w:r>
        <w:rPr>
          <w:rFonts w:ascii="Arial" w:hAnsi="Arial" w:eastAsia="微软雅黑"/>
          <w:b w:val="0"/>
          <w:i w:val="0"/>
          <w:sz w:val="21"/>
        </w:rPr>
        <w:t>数据可用、规则表 v1、贪心基线可运行。</w:t>
      </w:r>
    </w:p>
    <w:p>
      <w:pPr>
        <w:spacing w:before="120" w:after="80"/>
      </w:pPr>
      <w:r>
        <w:rPr>
          <w:rFonts w:ascii="Arial" w:hAnsi="Arial" w:eastAsia="微软雅黑"/>
          <w:b/>
          <w:i w:val="0"/>
          <w:color w:val="2E548A"/>
          <w:sz w:val="22"/>
        </w:rPr>
        <w:t>W2：9 月 21–27 日，规则引擎 MVP 与模型基线</w:t>
      </w:r>
    </w:p>
    <w:p>
      <w:pPr>
        <w:spacing w:after="40" w:line="300" w:lineRule="auto"/>
      </w:pPr>
      <w:r>
        <w:rPr>
          <w:rFonts w:ascii="Arial" w:hAnsi="Arial" w:eastAsia="微软雅黑"/>
          <w:b/>
          <w:i w:val="0"/>
          <w:sz w:val="21"/>
        </w:rPr>
        <w:t>成员A：</w:t>
      </w:r>
      <w:r>
        <w:rPr>
          <w:rFonts w:ascii="Arial" w:hAnsi="Arial" w:eastAsia="微软雅黑"/>
          <w:b w:val="0"/>
          <w:i w:val="0"/>
          <w:sz w:val="21"/>
        </w:rPr>
        <w:t>实现规则引擎 v1；能根据温度事件输出处置建议和规则依据；准备 20 条测试案例与单元测试。</w:t>
      </w:r>
    </w:p>
    <w:p>
      <w:pPr>
        <w:spacing w:after="40" w:line="300" w:lineRule="auto"/>
      </w:pPr>
      <w:r>
        <w:rPr>
          <w:rFonts w:ascii="Arial" w:hAnsi="Arial" w:eastAsia="微软雅黑"/>
          <w:b/>
          <w:i w:val="0"/>
          <w:sz w:val="21"/>
        </w:rPr>
        <w:t>成员B：</w:t>
      </w:r>
      <w:r>
        <w:rPr>
          <w:rFonts w:ascii="Arial" w:hAnsi="Arial" w:eastAsia="微软雅黑"/>
          <w:b w:val="0"/>
          <w:i w:val="0"/>
          <w:sz w:val="21"/>
        </w:rPr>
        <w:t>建立时间顺序的训练 / 验证 / 测试集；训练 LightGBM、XGBoost 风险预测基线；计算 F1、AUC、PR-AUC；输出 SHAP 初版。</w:t>
      </w:r>
    </w:p>
    <w:p>
      <w:pPr>
        <w:spacing w:after="40" w:line="300" w:lineRule="auto"/>
      </w:pPr>
      <w:r>
        <w:rPr>
          <w:rFonts w:ascii="Arial" w:hAnsi="Arial" w:eastAsia="微软雅黑"/>
          <w:b/>
          <w:i w:val="0"/>
          <w:sz w:val="21"/>
        </w:rPr>
        <w:t>成员C：</w:t>
      </w:r>
      <w:r>
        <w:rPr>
          <w:rFonts w:ascii="Arial" w:hAnsi="Arial" w:eastAsia="微软雅黑"/>
          <w:b w:val="0"/>
          <w:i w:val="0"/>
          <w:sz w:val="21"/>
        </w:rPr>
        <w:t>完成配送优化接口设计；接入规则引擎输出的“补发订单”；实现带时间窗和容量的初始优化模型。</w:t>
      </w:r>
    </w:p>
    <w:p>
      <w:pPr>
        <w:spacing w:after="40" w:line="300" w:lineRule="auto"/>
      </w:pPr>
      <w:r>
        <w:rPr>
          <w:rFonts w:ascii="Arial" w:hAnsi="Arial" w:eastAsia="微软雅黑"/>
          <w:b/>
          <w:i w:val="0"/>
          <w:sz w:val="21"/>
        </w:rPr>
        <w:t>成员D：</w:t>
      </w:r>
      <w:r>
        <w:rPr>
          <w:rFonts w:ascii="Arial" w:hAnsi="Arial" w:eastAsia="微软雅黑"/>
          <w:b w:val="0"/>
          <w:i w:val="0"/>
          <w:sz w:val="21"/>
        </w:rPr>
        <w:t>构建知识图谱数据加载脚本；导入产品、规则、案例节点；完成后端 API 骨架。</w:t>
      </w:r>
    </w:p>
    <w:p>
      <w:pPr>
        <w:spacing w:after="120" w:line="300" w:lineRule="auto"/>
      </w:pPr>
      <w:r>
        <w:rPr>
          <w:rFonts w:ascii="Arial" w:hAnsi="Arial" w:eastAsia="微软雅黑"/>
          <w:b/>
          <w:i w:val="0"/>
          <w:sz w:val="21"/>
        </w:rPr>
        <w:t>当周交付：</w:t>
      </w:r>
      <w:r>
        <w:rPr>
          <w:rFonts w:ascii="Arial" w:hAnsi="Arial" w:eastAsia="微软雅黑"/>
          <w:b w:val="0"/>
          <w:i w:val="0"/>
          <w:sz w:val="21"/>
        </w:rPr>
        <w:t>规则引擎 MVP 演示、风险模型 baseline 报告、优化接口 v1。</w:t>
      </w:r>
    </w:p>
    <w:p>
      <w:pPr>
        <w:spacing w:before="120" w:after="80"/>
      </w:pPr>
      <w:r>
        <w:rPr>
          <w:rFonts w:ascii="Arial" w:hAnsi="Arial" w:eastAsia="微软雅黑"/>
          <w:b/>
          <w:i w:val="0"/>
          <w:color w:val="2E548A"/>
          <w:sz w:val="22"/>
        </w:rPr>
        <w:t>W3：9 月 28 日–10 月 4 日，端到端集成 v1</w:t>
      </w:r>
    </w:p>
    <w:p>
      <w:pPr>
        <w:spacing w:after="40" w:line="300" w:lineRule="auto"/>
      </w:pPr>
      <w:r>
        <w:rPr>
          <w:rFonts w:ascii="Arial" w:hAnsi="Arial" w:eastAsia="微软雅黑"/>
          <w:b/>
          <w:i w:val="0"/>
          <w:sz w:val="21"/>
        </w:rPr>
        <w:t>成员A：</w:t>
      </w:r>
      <w:r>
        <w:rPr>
          <w:rFonts w:ascii="Arial" w:hAnsi="Arial" w:eastAsia="微软雅黑"/>
          <w:b w:val="0"/>
          <w:i w:val="0"/>
          <w:sz w:val="21"/>
        </w:rPr>
        <w:t>将规则引擎与 B 的风险模型初步联动；整理规则覆盖率、与人工标注的一致率；开始撰写报告方法论。</w:t>
      </w:r>
    </w:p>
    <w:p>
      <w:pPr>
        <w:spacing w:after="40" w:line="300" w:lineRule="auto"/>
      </w:pPr>
      <w:r>
        <w:rPr>
          <w:rFonts w:ascii="Arial" w:hAnsi="Arial" w:eastAsia="微软雅黑"/>
          <w:b/>
          <w:i w:val="0"/>
          <w:sz w:val="21"/>
        </w:rPr>
        <w:t>成员B：</w:t>
      </w:r>
      <w:r>
        <w:rPr>
          <w:rFonts w:ascii="Arial" w:hAnsi="Arial" w:eastAsia="微软雅黑"/>
          <w:b w:val="0"/>
          <w:i w:val="0"/>
          <w:sz w:val="21"/>
        </w:rPr>
        <w:t>完成根因分类模型；与规则引擎特征对齐；输出 Top-1 / Top-3 准确率和 F1；整理实验表格。</w:t>
      </w:r>
    </w:p>
    <w:p>
      <w:pPr>
        <w:spacing w:after="40" w:line="300" w:lineRule="auto"/>
      </w:pPr>
      <w:r>
        <w:rPr>
          <w:rFonts w:ascii="Arial" w:hAnsi="Arial" w:eastAsia="微软雅黑"/>
          <w:b/>
          <w:i w:val="0"/>
          <w:sz w:val="21"/>
        </w:rPr>
        <w:t>成员C：</w:t>
      </w:r>
      <w:r>
        <w:rPr>
          <w:rFonts w:ascii="Arial" w:hAnsi="Arial" w:eastAsia="微软雅黑"/>
          <w:b w:val="0"/>
          <w:i w:val="0"/>
          <w:sz w:val="21"/>
        </w:rPr>
        <w:t>完成“补发订单 → 仓库选择 → 路线重排”主流程；实现 OR-Tools / CP-SAT 初版并与贪心基线比较。</w:t>
      </w:r>
    </w:p>
    <w:p>
      <w:pPr>
        <w:spacing w:after="40" w:line="300" w:lineRule="auto"/>
      </w:pPr>
      <w:r>
        <w:rPr>
          <w:rFonts w:ascii="Arial" w:hAnsi="Arial" w:eastAsia="微软雅黑"/>
          <w:b/>
          <w:i w:val="0"/>
          <w:sz w:val="21"/>
        </w:rPr>
        <w:t>成员D：</w:t>
      </w:r>
      <w:r>
        <w:rPr>
          <w:rFonts w:ascii="Arial" w:hAnsi="Arial" w:eastAsia="微软雅黑"/>
          <w:b w:val="0"/>
          <w:i w:val="0"/>
          <w:sz w:val="21"/>
        </w:rPr>
        <w:t>打通“异常列表 → 处置建议 → 路线结果”的 API；完成基础前端页面；实现知识图谱查询接口。</w:t>
      </w:r>
    </w:p>
    <w:p>
      <w:pPr>
        <w:spacing w:after="120" w:line="300" w:lineRule="auto"/>
      </w:pPr>
      <w:r>
        <w:rPr>
          <w:rFonts w:ascii="Arial" w:hAnsi="Arial" w:eastAsia="微软雅黑"/>
          <w:b/>
          <w:i w:val="0"/>
          <w:sz w:val="21"/>
        </w:rPr>
        <w:t>当周交付：</w:t>
      </w:r>
      <w:r>
        <w:rPr>
          <w:rFonts w:ascii="Arial" w:hAnsi="Arial" w:eastAsia="微软雅黑"/>
          <w:b w:val="0"/>
          <w:i w:val="0"/>
          <w:sz w:val="21"/>
        </w:rPr>
        <w:t>端到端 v1 演示，即温度异常输入后输出处置建议与重排路线。</w:t>
      </w:r>
    </w:p>
    <w:p>
      <w:pPr>
        <w:spacing w:before="120" w:after="80"/>
      </w:pPr>
      <w:r>
        <w:rPr>
          <w:rFonts w:ascii="Arial" w:hAnsi="Arial" w:eastAsia="微软雅黑"/>
          <w:b/>
          <w:i w:val="0"/>
          <w:color w:val="2E548A"/>
          <w:sz w:val="22"/>
        </w:rPr>
        <w:t>W4：10 月 5–11 日，优化与解释增强</w:t>
      </w:r>
    </w:p>
    <w:p>
      <w:pPr>
        <w:spacing w:after="40" w:line="300" w:lineRule="auto"/>
      </w:pPr>
      <w:r>
        <w:rPr>
          <w:rFonts w:ascii="Arial" w:hAnsi="Arial" w:eastAsia="微软雅黑"/>
          <w:b/>
          <w:i w:val="0"/>
          <w:sz w:val="21"/>
        </w:rPr>
        <w:t>成员A：</w:t>
      </w:r>
      <w:r>
        <w:rPr>
          <w:rFonts w:ascii="Arial" w:hAnsi="Arial" w:eastAsia="微软雅黑"/>
          <w:b w:val="0"/>
          <w:i w:val="0"/>
          <w:sz w:val="21"/>
        </w:rPr>
        <w:t>完善处置决策的可解释输出；生成审计报告模板；撰写用户手册初稿。</w:t>
      </w:r>
    </w:p>
    <w:p>
      <w:pPr>
        <w:spacing w:after="40" w:line="300" w:lineRule="auto"/>
      </w:pPr>
      <w:r>
        <w:rPr>
          <w:rFonts w:ascii="Arial" w:hAnsi="Arial" w:eastAsia="微软雅黑"/>
          <w:b/>
          <w:i w:val="0"/>
          <w:sz w:val="21"/>
        </w:rPr>
        <w:t>成员B：</w:t>
      </w:r>
      <w:r>
        <w:rPr>
          <w:rFonts w:ascii="Arial" w:hAnsi="Arial" w:eastAsia="微软雅黑"/>
          <w:b w:val="0"/>
          <w:i w:val="0"/>
          <w:sz w:val="21"/>
        </w:rPr>
        <w:t>加入数据增强或类别权重，调优风险预测模型；完善 SHAP 解释；准备失败案例分析。</w:t>
      </w:r>
    </w:p>
    <w:p>
      <w:pPr>
        <w:spacing w:after="40" w:line="300" w:lineRule="auto"/>
      </w:pPr>
      <w:r>
        <w:rPr>
          <w:rFonts w:ascii="Arial" w:hAnsi="Arial" w:eastAsia="微软雅黑"/>
          <w:b/>
          <w:i w:val="0"/>
          <w:sz w:val="21"/>
        </w:rPr>
        <w:t>成员C：</w:t>
      </w:r>
      <w:r>
        <w:rPr>
          <w:rFonts w:ascii="Arial" w:hAnsi="Arial" w:eastAsia="微软雅黑"/>
          <w:b w:val="0"/>
          <w:i w:val="0"/>
          <w:sz w:val="21"/>
        </w:rPr>
        <w:t>调优遗传算法或 OR-Tools；加入多温区和断供优先级约束；系统比较贪心、CP-SAT、遗传算法。</w:t>
      </w:r>
    </w:p>
    <w:p>
      <w:pPr>
        <w:spacing w:after="40" w:line="300" w:lineRule="auto"/>
      </w:pPr>
      <w:r>
        <w:rPr>
          <w:rFonts w:ascii="Arial" w:hAnsi="Arial" w:eastAsia="微软雅黑"/>
          <w:b/>
          <w:i w:val="0"/>
          <w:sz w:val="21"/>
        </w:rPr>
        <w:t>成员D：</w:t>
      </w:r>
      <w:r>
        <w:rPr>
          <w:rFonts w:ascii="Arial" w:hAnsi="Arial" w:eastAsia="微软雅黑"/>
          <w:b w:val="0"/>
          <w:i w:val="0"/>
          <w:sz w:val="21"/>
        </w:rPr>
        <w:t>完成知识图谱问答 v1；实现“为什么隔离”“依据哪条规则”等查询；把决策链接入解释界面。</w:t>
      </w:r>
    </w:p>
    <w:p>
      <w:pPr>
        <w:spacing w:after="120" w:line="300" w:lineRule="auto"/>
      </w:pPr>
      <w:r>
        <w:rPr>
          <w:rFonts w:ascii="Arial" w:hAnsi="Arial" w:eastAsia="微软雅黑"/>
          <w:b/>
          <w:i w:val="0"/>
          <w:sz w:val="21"/>
        </w:rPr>
        <w:t>当周交付：</w:t>
      </w:r>
      <w:r>
        <w:rPr>
          <w:rFonts w:ascii="Arial" w:hAnsi="Arial" w:eastAsia="微软雅黑"/>
          <w:b w:val="0"/>
          <w:i w:val="0"/>
          <w:sz w:val="21"/>
        </w:rPr>
        <w:t>优化结果对比、审计报告模板、问答功能 v1。</w:t>
      </w:r>
    </w:p>
    <w:p>
      <w:pPr>
        <w:spacing w:before="120" w:after="80"/>
      </w:pPr>
      <w:r>
        <w:rPr>
          <w:rFonts w:ascii="Arial" w:hAnsi="Arial" w:eastAsia="微软雅黑"/>
          <w:b/>
          <w:i w:val="0"/>
          <w:color w:val="2E548A"/>
          <w:sz w:val="22"/>
        </w:rPr>
        <w:t>W5：10 月 12–18 日，集成测试与视频</w:t>
      </w:r>
    </w:p>
    <w:p>
      <w:pPr>
        <w:spacing w:after="40" w:line="300" w:lineRule="auto"/>
      </w:pPr>
      <w:r>
        <w:rPr>
          <w:rFonts w:ascii="Arial" w:hAnsi="Arial" w:eastAsia="微软雅黑"/>
          <w:b/>
          <w:i w:val="0"/>
          <w:sz w:val="21"/>
        </w:rPr>
        <w:t>成员A：</w:t>
      </w:r>
      <w:r>
        <w:rPr>
          <w:rFonts w:ascii="Arial" w:hAnsi="Arial" w:eastAsia="微软雅黑"/>
          <w:b w:val="0"/>
          <w:i w:val="0"/>
          <w:sz w:val="21"/>
        </w:rPr>
        <w:t>组织全流程测试和边界案例测试；检查合规依据完整性；完成最终报告初稿。</w:t>
      </w:r>
    </w:p>
    <w:p>
      <w:pPr>
        <w:spacing w:after="40" w:line="300" w:lineRule="auto"/>
      </w:pPr>
      <w:r>
        <w:rPr>
          <w:rFonts w:ascii="Arial" w:hAnsi="Arial" w:eastAsia="微软雅黑"/>
          <w:b/>
          <w:i w:val="0"/>
          <w:sz w:val="21"/>
        </w:rPr>
        <w:t>成员B：</w:t>
      </w:r>
      <w:r>
        <w:rPr>
          <w:rFonts w:ascii="Arial" w:hAnsi="Arial" w:eastAsia="微软雅黑"/>
          <w:b w:val="0"/>
          <w:i w:val="0"/>
          <w:sz w:val="21"/>
        </w:rPr>
        <w:t>固化实验脚本和可复现流程；汇总所有指标；支持 A 完成实验章节。</w:t>
      </w:r>
    </w:p>
    <w:p>
      <w:pPr>
        <w:spacing w:after="40" w:line="300" w:lineRule="auto"/>
      </w:pPr>
      <w:r>
        <w:rPr>
          <w:rFonts w:ascii="Arial" w:hAnsi="Arial" w:eastAsia="微软雅黑"/>
          <w:b/>
          <w:i w:val="0"/>
          <w:sz w:val="21"/>
        </w:rPr>
        <w:t>成员C：</w:t>
      </w:r>
      <w:r>
        <w:rPr>
          <w:rFonts w:ascii="Arial" w:hAnsi="Arial" w:eastAsia="微软雅黑"/>
          <w:b w:val="0"/>
          <w:i w:val="0"/>
          <w:sz w:val="21"/>
        </w:rPr>
        <w:t>修复优化场景问题；输出最终路线可视化数据；支持演示脚本。</w:t>
      </w:r>
    </w:p>
    <w:p>
      <w:pPr>
        <w:spacing w:after="40" w:line="300" w:lineRule="auto"/>
      </w:pPr>
      <w:r>
        <w:rPr>
          <w:rFonts w:ascii="Arial" w:hAnsi="Arial" w:eastAsia="微软雅黑"/>
          <w:b/>
          <w:i w:val="0"/>
          <w:sz w:val="21"/>
        </w:rPr>
        <w:t>成员D：</w:t>
      </w:r>
      <w:r>
        <w:rPr>
          <w:rFonts w:ascii="Arial" w:hAnsi="Arial" w:eastAsia="微软雅黑"/>
          <w:b w:val="0"/>
          <w:i w:val="0"/>
          <w:sz w:val="21"/>
        </w:rPr>
        <w:t>完成界面与问答模块；准备两个 5 分钟视频的脚本、页面与 Demo 数据；完成 GitHub README。</w:t>
      </w:r>
    </w:p>
    <w:p>
      <w:pPr>
        <w:spacing w:after="120" w:line="300" w:lineRule="auto"/>
      </w:pPr>
      <w:r>
        <w:rPr>
          <w:rFonts w:ascii="Arial" w:hAnsi="Arial" w:eastAsia="微软雅黑"/>
          <w:b/>
          <w:i w:val="0"/>
          <w:sz w:val="21"/>
        </w:rPr>
        <w:t>当周交付：</w:t>
      </w:r>
      <w:r>
        <w:rPr>
          <w:rFonts w:ascii="Arial" w:hAnsi="Arial" w:eastAsia="微软雅黑"/>
          <w:b w:val="0"/>
          <w:i w:val="0"/>
          <w:sz w:val="21"/>
        </w:rPr>
        <w:t>全流程可演示，报告初稿完成，视频脚本完成。</w:t>
      </w:r>
    </w:p>
    <w:p>
      <w:pPr>
        <w:spacing w:before="120" w:after="80"/>
      </w:pPr>
      <w:r>
        <w:rPr>
          <w:rFonts w:ascii="Arial" w:hAnsi="Arial" w:eastAsia="微软雅黑"/>
          <w:b/>
          <w:i w:val="0"/>
          <w:color w:val="2E548A"/>
          <w:sz w:val="22"/>
        </w:rPr>
        <w:t>W6：10 月 19–25 日，最终交付</w:t>
      </w:r>
    </w:p>
    <w:p>
      <w:pPr>
        <w:spacing w:after="40" w:line="300" w:lineRule="auto"/>
      </w:pPr>
      <w:r>
        <w:rPr>
          <w:rFonts w:ascii="Arial" w:hAnsi="Arial" w:eastAsia="微软雅黑"/>
          <w:b/>
          <w:i w:val="0"/>
          <w:sz w:val="21"/>
        </w:rPr>
        <w:t>成员A：</w:t>
      </w:r>
      <w:r>
        <w:rPr>
          <w:rFonts w:ascii="Arial" w:hAnsi="Arial" w:eastAsia="微软雅黑"/>
          <w:b w:val="0"/>
          <w:i w:val="0"/>
          <w:sz w:val="21"/>
        </w:rPr>
        <w:t>终审 Proposal / 最终报告、用户手册、个人反思；对照课程 rubric 检查技术覆盖与交付物。</w:t>
      </w:r>
    </w:p>
    <w:p>
      <w:pPr>
        <w:spacing w:after="40" w:line="300" w:lineRule="auto"/>
      </w:pPr>
      <w:r>
        <w:rPr>
          <w:rFonts w:ascii="Arial" w:hAnsi="Arial" w:eastAsia="微软雅黑"/>
          <w:b/>
          <w:i w:val="0"/>
          <w:sz w:val="21"/>
        </w:rPr>
        <w:t>成员B：</w:t>
      </w:r>
      <w:r>
        <w:rPr>
          <w:rFonts w:ascii="Arial" w:hAnsi="Arial" w:eastAsia="微软雅黑"/>
          <w:b w:val="0"/>
          <w:i w:val="0"/>
          <w:sz w:val="21"/>
        </w:rPr>
        <w:t>提交前检查数据与实验可复现性；打包数据说明、预处理脚本与实验脚本。</w:t>
      </w:r>
    </w:p>
    <w:p>
      <w:pPr>
        <w:spacing w:after="40" w:line="300" w:lineRule="auto"/>
      </w:pPr>
      <w:r>
        <w:rPr>
          <w:rFonts w:ascii="Arial" w:hAnsi="Arial" w:eastAsia="微软雅黑"/>
          <w:b/>
          <w:i w:val="0"/>
          <w:sz w:val="21"/>
        </w:rPr>
        <w:t>成员C：</w:t>
      </w:r>
      <w:r>
        <w:rPr>
          <w:rFonts w:ascii="Arial" w:hAnsi="Arial" w:eastAsia="微软雅黑"/>
          <w:b w:val="0"/>
          <w:i w:val="0"/>
          <w:sz w:val="21"/>
        </w:rPr>
        <w:t>提交前检查优化结果与 baseline；整理 GitHub 代码和运行说明。</w:t>
      </w:r>
    </w:p>
    <w:p>
      <w:pPr>
        <w:spacing w:after="40" w:line="300" w:lineRule="auto"/>
      </w:pPr>
      <w:r>
        <w:rPr>
          <w:rFonts w:ascii="Arial" w:hAnsi="Arial" w:eastAsia="微软雅黑"/>
          <w:b/>
          <w:i w:val="0"/>
          <w:sz w:val="21"/>
        </w:rPr>
        <w:t>成员D：</w:t>
      </w:r>
      <w:r>
        <w:rPr>
          <w:rFonts w:ascii="Arial" w:hAnsi="Arial" w:eastAsia="微软雅黑"/>
          <w:b w:val="0"/>
          <w:i w:val="0"/>
          <w:sz w:val="21"/>
        </w:rPr>
        <w:t>完成视频剪辑、字幕与最终 Demo；完成报告 zip 打包；做 GitHub 最终整理。</w:t>
      </w:r>
    </w:p>
    <w:p>
      <w:pPr>
        <w:spacing w:after="120" w:line="300" w:lineRule="auto"/>
      </w:pPr>
      <w:r>
        <w:rPr>
          <w:rFonts w:ascii="Arial" w:hAnsi="Arial" w:eastAsia="微软雅黑"/>
          <w:b/>
          <w:i w:val="0"/>
          <w:sz w:val="21"/>
        </w:rPr>
        <w:t>当周交付：</w:t>
      </w:r>
      <w:r>
        <w:rPr>
          <w:rFonts w:ascii="Arial" w:hAnsi="Arial" w:eastAsia="微软雅黑"/>
          <w:b w:val="0"/>
          <w:i w:val="0"/>
          <w:sz w:val="21"/>
        </w:rPr>
        <w:t>10 月 25 日前提交 GitHub、两个 5 分钟视频、报告 zip、用户手册和个人反思。</w:t>
      </w:r>
    </w:p>
    <w:p>
      <w:pPr>
        <w:spacing w:before="200" w:after="80"/>
      </w:pPr>
      <w:r>
        <w:rPr>
          <w:rFonts w:ascii="Arial" w:hAnsi="Arial" w:eastAsia="微软雅黑"/>
          <w:b/>
          <w:i w:val="0"/>
          <w:color w:val="1F3B66"/>
          <w:sz w:val="30"/>
        </w:rPr>
        <w:t>十一、风险与应对</w:t>
      </w:r>
    </w:p>
    <w:tbl>
      <w:tblPr>
        <w:tblStyle w:val="TableGrid"/>
        <w:tblW w:type="auto" w:w="0"/>
        <w:jc w:val="center"/>
        <w:tblLook w:firstColumn="1" w:firstRow="1" w:lastColumn="0" w:lastRow="0" w:noHBand="0" w:noVBand="1" w:val="04A0"/>
      </w:tblPr>
      <w:tblGrid>
        <w:gridCol w:w="4824"/>
        <w:gridCol w:w="4824"/>
      </w:tblGrid>
      <w:tr>
        <w:tc>
          <w:tcPr>
            <w:tcW w:type="dxa" w:w="3024"/>
          </w:tcPr>
          <w:p>
            <w:r>
              <w:rPr>
                <w:rFonts w:ascii="Arial" w:hAnsi="Arial" w:eastAsia="微软雅黑"/>
                <w:b/>
                <w:i w:val="0"/>
                <w:sz w:val="18"/>
              </w:rPr>
              <w:t>风险</w:t>
            </w:r>
          </w:p>
        </w:tc>
        <w:tc>
          <w:tcPr>
            <w:tcW w:type="dxa" w:w="6336"/>
          </w:tcPr>
          <w:p>
            <w:r>
              <w:rPr>
                <w:rFonts w:ascii="Arial" w:hAnsi="Arial" w:eastAsia="微软雅黑"/>
                <w:b/>
                <w:i w:val="0"/>
                <w:sz w:val="18"/>
              </w:rPr>
              <w:t>应对措施</w:t>
            </w:r>
          </w:p>
        </w:tc>
      </w:tr>
      <w:tr>
        <w:tc>
          <w:tcPr>
            <w:tcW w:type="dxa" w:w="3024"/>
          </w:tcPr>
          <w:p>
            <w:r>
              <w:rPr>
                <w:rFonts w:ascii="Arial" w:hAnsi="Arial" w:eastAsia="微软雅黑"/>
                <w:b w:val="0"/>
                <w:i w:val="0"/>
                <w:sz w:val="18"/>
              </w:rPr>
              <w:t>风险预测数据集样本较小</w:t>
            </w:r>
          </w:p>
        </w:tc>
        <w:tc>
          <w:tcPr>
            <w:tcW w:type="dxa" w:w="6336"/>
          </w:tcPr>
          <w:p>
            <w:r>
              <w:rPr>
                <w:rFonts w:ascii="Arial" w:hAnsi="Arial" w:eastAsia="微软雅黑"/>
                <w:b w:val="0"/>
                <w:i w:val="0"/>
                <w:sz w:val="18"/>
              </w:rPr>
              <w:t>采用表格型模型、交叉验证、数据增强，并与 26,674 行和 30,000 行数据集互补</w:t>
            </w:r>
          </w:p>
        </w:tc>
      </w:tr>
      <w:tr>
        <w:tc>
          <w:tcPr>
            <w:tcW w:type="dxa" w:w="3024"/>
          </w:tcPr>
          <w:p>
            <w:r>
              <w:rPr>
                <w:rFonts w:ascii="Arial" w:hAnsi="Arial" w:eastAsia="微软雅黑"/>
                <w:b w:val="0"/>
                <w:i w:val="0"/>
                <w:sz w:val="18"/>
              </w:rPr>
              <w:t>处置规则领域复杂</w:t>
            </w:r>
          </w:p>
        </w:tc>
        <w:tc>
          <w:tcPr>
            <w:tcW w:type="dxa" w:w="6336"/>
          </w:tcPr>
          <w:p>
            <w:r>
              <w:rPr>
                <w:rFonts w:ascii="Arial" w:hAnsi="Arial" w:eastAsia="微软雅黑"/>
                <w:b w:val="0"/>
                <w:i w:val="0"/>
                <w:sz w:val="18"/>
              </w:rPr>
              <w:t>限定 1–2 类产品，依据 WHO / GDP / ICH 公开规则建立小型规则集</w:t>
            </w:r>
          </w:p>
        </w:tc>
      </w:tr>
      <w:tr>
        <w:tc>
          <w:tcPr>
            <w:tcW w:type="dxa" w:w="3024"/>
          </w:tcPr>
          <w:p>
            <w:r>
              <w:rPr>
                <w:rFonts w:ascii="Arial" w:hAnsi="Arial" w:eastAsia="微软雅黑"/>
                <w:b w:val="0"/>
                <w:i w:val="0"/>
                <w:sz w:val="18"/>
              </w:rPr>
              <w:t>路径优化问题规模过大</w:t>
            </w:r>
          </w:p>
        </w:tc>
        <w:tc>
          <w:tcPr>
            <w:tcW w:type="dxa" w:w="6336"/>
          </w:tcPr>
          <w:p>
            <w:r>
              <w:rPr>
                <w:rFonts w:ascii="Arial" w:hAnsi="Arial" w:eastAsia="微软雅黑"/>
                <w:b w:val="0"/>
                <w:i w:val="0"/>
                <w:sz w:val="18"/>
              </w:rPr>
              <w:t>先用贪心基线，再逐步引入 OR-Tools / 遗传算法，控制节点数</w:t>
            </w:r>
          </w:p>
        </w:tc>
      </w:tr>
      <w:tr>
        <w:tc>
          <w:tcPr>
            <w:tcW w:type="dxa" w:w="3024"/>
          </w:tcPr>
          <w:p>
            <w:r>
              <w:rPr>
                <w:rFonts w:ascii="Arial" w:hAnsi="Arial" w:eastAsia="微软雅黑"/>
                <w:b w:val="0"/>
                <w:i w:val="0"/>
                <w:sz w:val="18"/>
              </w:rPr>
              <w:t>知识问答可能产生未经验证的结论</w:t>
            </w:r>
          </w:p>
        </w:tc>
        <w:tc>
          <w:tcPr>
            <w:tcW w:type="dxa" w:w="6336"/>
          </w:tcPr>
          <w:p>
            <w:r>
              <w:rPr>
                <w:rFonts w:ascii="Arial" w:hAnsi="Arial" w:eastAsia="微软雅黑"/>
                <w:b w:val="0"/>
                <w:i w:val="0"/>
                <w:sz w:val="18"/>
              </w:rPr>
              <w:t>只允许基于规则、知识图谱和决策链生成答案，LLM 仅做语言润色</w:t>
            </w:r>
          </w:p>
        </w:tc>
      </w:tr>
      <w:tr>
        <w:tc>
          <w:tcPr>
            <w:tcW w:type="dxa" w:w="3024"/>
          </w:tcPr>
          <w:p>
            <w:r>
              <w:rPr>
                <w:rFonts w:ascii="Arial" w:hAnsi="Arial" w:eastAsia="微软雅黑"/>
                <w:b w:val="0"/>
                <w:i w:val="0"/>
                <w:sz w:val="18"/>
              </w:rPr>
              <w:t>范围蔓延导致无法完成</w:t>
            </w:r>
          </w:p>
        </w:tc>
        <w:tc>
          <w:tcPr>
            <w:tcW w:type="dxa" w:w="6336"/>
          </w:tcPr>
          <w:p>
            <w:r>
              <w:rPr>
                <w:rFonts w:ascii="Arial" w:hAnsi="Arial" w:eastAsia="微软雅黑"/>
                <w:b w:val="0"/>
                <w:i w:val="0"/>
                <w:sz w:val="18"/>
              </w:rPr>
              <w:t>明确 MVP 边界，采用模块接口与每周集成</w:t>
            </w:r>
          </w:p>
        </w:tc>
      </w:tr>
      <w:tr>
        <w:tc>
          <w:tcPr>
            <w:tcW w:type="dxa" w:w="3024"/>
          </w:tcPr>
          <w:p>
            <w:r>
              <w:rPr>
                <w:rFonts w:ascii="Arial" w:hAnsi="Arial" w:eastAsia="微软雅黑"/>
                <w:b w:val="0"/>
                <w:i w:val="0"/>
                <w:sz w:val="18"/>
              </w:rPr>
              <w:t>Kaggle 下载或登录受限</w:t>
            </w:r>
          </w:p>
        </w:tc>
        <w:tc>
          <w:tcPr>
            <w:tcW w:type="dxa" w:w="6336"/>
          </w:tcPr>
          <w:p>
            <w:r>
              <w:rPr>
                <w:rFonts w:ascii="Arial" w:hAnsi="Arial" w:eastAsia="微软雅黑"/>
                <w:b w:val="0"/>
                <w:i w:val="0"/>
                <w:sz w:val="18"/>
              </w:rPr>
              <w:t>使用 Hugging Face 数据源、CVRPLIB 和合成数据作为替代</w:t>
            </w:r>
          </w:p>
        </w:tc>
      </w:tr>
      <w:tr>
        <w:tc>
          <w:tcPr>
            <w:tcW w:type="dxa" w:w="3024"/>
          </w:tcPr>
          <w:p>
            <w:r>
              <w:rPr>
                <w:rFonts w:ascii="Arial" w:hAnsi="Arial" w:eastAsia="微软雅黑"/>
                <w:b w:val="0"/>
                <w:i w:val="0"/>
                <w:sz w:val="18"/>
              </w:rPr>
              <w:t>数据版权或使用限制</w:t>
            </w:r>
          </w:p>
        </w:tc>
        <w:tc>
          <w:tcPr>
            <w:tcW w:type="dxa" w:w="6336"/>
          </w:tcPr>
          <w:p>
            <w:r>
              <w:rPr>
                <w:rFonts w:ascii="Arial" w:hAnsi="Arial" w:eastAsia="微软雅黑"/>
                <w:b w:val="0"/>
                <w:i w:val="0"/>
                <w:sz w:val="18"/>
              </w:rPr>
              <w:t>仅用于课程研究，遵守各平台许可，报告注明来源</w:t>
            </w:r>
          </w:p>
        </w:tc>
      </w:tr>
    </w:tbl>
    <w:p>
      <w:pPr>
        <w:spacing w:after="0"/>
      </w:pPr>
    </w:p>
    <w:p>
      <w:pPr>
        <w:spacing w:before="200" w:after="80"/>
      </w:pPr>
      <w:r>
        <w:rPr>
          <w:rFonts w:ascii="Arial" w:hAnsi="Arial" w:eastAsia="微软雅黑"/>
          <w:b/>
          <w:i w:val="0"/>
          <w:color w:val="1F3B66"/>
          <w:sz w:val="30"/>
        </w:rPr>
        <w:t>十二、最终交付物</w:t>
      </w:r>
    </w:p>
    <w:p>
      <w:pPr>
        <w:pStyle w:val="ListBullet"/>
        <w:spacing w:after="40" w:line="300" w:lineRule="auto"/>
      </w:pPr>
      <w:r>
        <w:rPr>
          <w:rFonts w:ascii="Arial" w:hAnsi="Arial" w:eastAsia="微软雅黑"/>
          <w:b w:val="0"/>
          <w:i w:val="0"/>
          <w:sz w:val="21"/>
        </w:rPr>
        <w:t>GitHub 代码仓库，包含数据处理、模型、规则引擎、优化算法、知识图谱与前端。</w:t>
      </w:r>
    </w:p>
    <w:p>
      <w:pPr>
        <w:pStyle w:val="ListBullet"/>
        <w:spacing w:after="40" w:line="300" w:lineRule="auto"/>
      </w:pPr>
      <w:r>
        <w:rPr>
          <w:rFonts w:ascii="Arial" w:hAnsi="Arial" w:eastAsia="微软雅黑"/>
          <w:b w:val="0"/>
          <w:i w:val="0"/>
          <w:sz w:val="21"/>
        </w:rPr>
        <w:t>正式项目报告。</w:t>
      </w:r>
    </w:p>
    <w:p>
      <w:pPr>
        <w:pStyle w:val="ListBullet"/>
        <w:spacing w:after="40" w:line="300" w:lineRule="auto"/>
      </w:pPr>
      <w:r>
        <w:rPr>
          <w:rFonts w:ascii="Arial" w:hAnsi="Arial" w:eastAsia="微软雅黑"/>
          <w:b w:val="0"/>
          <w:i w:val="0"/>
          <w:sz w:val="21"/>
        </w:rPr>
        <w:t>用户手册。</w:t>
      </w:r>
    </w:p>
    <w:p>
      <w:pPr>
        <w:pStyle w:val="ListBullet"/>
        <w:spacing w:after="40" w:line="300" w:lineRule="auto"/>
      </w:pPr>
      <w:r>
        <w:rPr>
          <w:rFonts w:ascii="Arial" w:hAnsi="Arial" w:eastAsia="微软雅黑"/>
          <w:b w:val="0"/>
          <w:i w:val="0"/>
          <w:sz w:val="21"/>
        </w:rPr>
        <w:t>两个 5 分钟项目演示视频。</w:t>
      </w:r>
    </w:p>
    <w:p>
      <w:pPr>
        <w:pStyle w:val="ListBullet"/>
        <w:spacing w:after="40" w:line="300" w:lineRule="auto"/>
      </w:pPr>
      <w:r>
        <w:rPr>
          <w:rFonts w:ascii="Arial" w:hAnsi="Arial" w:eastAsia="微软雅黑"/>
          <w:b w:val="0"/>
          <w:i w:val="0"/>
          <w:sz w:val="21"/>
        </w:rPr>
        <w:t>报告与代码打包 zip。</w:t>
      </w:r>
    </w:p>
    <w:p>
      <w:pPr>
        <w:pStyle w:val="ListBullet"/>
        <w:spacing w:after="40" w:line="300" w:lineRule="auto"/>
      </w:pPr>
      <w:r>
        <w:rPr>
          <w:rFonts w:ascii="Arial" w:hAnsi="Arial" w:eastAsia="微软雅黑"/>
          <w:b w:val="0"/>
          <w:i w:val="0"/>
          <w:sz w:val="21"/>
        </w:rPr>
        <w:t>个人反思文档。</w:t>
      </w:r>
    </w:p>
    <w:p>
      <w:pPr>
        <w:pStyle w:val="ListBullet"/>
        <w:spacing w:after="40" w:line="300" w:lineRule="auto"/>
      </w:pPr>
      <w:r>
        <w:rPr>
          <w:rFonts w:ascii="Arial" w:hAnsi="Arial" w:eastAsia="微软雅黑"/>
          <w:b w:val="0"/>
          <w:i w:val="0"/>
          <w:sz w:val="21"/>
        </w:rPr>
        <w:t>实验脚本与可复现说明。</w:t>
      </w:r>
    </w:p>
    <w:p>
      <w:pPr>
        <w:spacing w:before="200" w:after="80"/>
      </w:pPr>
      <w:r>
        <w:rPr>
          <w:rFonts w:ascii="Arial" w:hAnsi="Arial" w:eastAsia="微软雅黑"/>
          <w:b/>
          <w:i w:val="0"/>
          <w:color w:val="1F3B66"/>
          <w:sz w:val="30"/>
        </w:rPr>
        <w:t>十三、参考资料</w:t>
      </w:r>
    </w:p>
    <w:p>
      <w:pPr>
        <w:pStyle w:val="ListBullet"/>
        <w:spacing w:after="40" w:line="300" w:lineRule="auto"/>
      </w:pPr>
      <w:r>
        <w:rPr>
          <w:rFonts w:ascii="Arial" w:hAnsi="Arial" w:eastAsia="微软雅黑"/>
          <w:b w:val="0"/>
          <w:i w:val="0"/>
          <w:sz w:val="21"/>
        </w:rPr>
        <w:t>WHO Model Guidance for the Storage and Transport of Time- and Temperature-Sensitive Pharmaceutical Products：https://www.who.int/publications/m/item/trs961-annex9-modelguidanceforstoragetransport</w:t>
      </w:r>
    </w:p>
    <w:p>
      <w:pPr>
        <w:pStyle w:val="ListBullet"/>
        <w:spacing w:after="40" w:line="300" w:lineRule="auto"/>
      </w:pPr>
      <w:r>
        <w:rPr>
          <w:rFonts w:ascii="Arial" w:hAnsi="Arial" w:eastAsia="微软雅黑"/>
          <w:b w:val="0"/>
          <w:i w:val="0"/>
          <w:sz w:val="21"/>
        </w:rPr>
        <w:t>EU Guidelines on Good Distribution Practice，2013/C 343/01：https://eur-lex.europa.eu/legal-content/EN/TXT/?uri=CELEX%3A32013C0343</w:t>
      </w:r>
    </w:p>
    <w:p>
      <w:pPr>
        <w:pStyle w:val="ListBullet"/>
        <w:spacing w:after="40" w:line="300" w:lineRule="auto"/>
      </w:pPr>
      <w:r>
        <w:rPr>
          <w:rFonts w:ascii="Arial" w:hAnsi="Arial" w:eastAsia="微软雅黑"/>
          <w:b w:val="0"/>
          <w:i w:val="0"/>
          <w:sz w:val="21"/>
        </w:rPr>
        <w:t>ICH Quality Guidelines：https://www.ich.org/page/quality-guidelines</w:t>
      </w:r>
    </w:p>
    <w:p>
      <w:pPr>
        <w:pStyle w:val="ListBullet"/>
        <w:spacing w:after="40" w:line="300" w:lineRule="auto"/>
      </w:pPr>
      <w:r>
        <w:rPr>
          <w:rFonts w:ascii="Arial" w:hAnsi="Arial" w:eastAsia="微软雅黑"/>
          <w:b w:val="0"/>
          <w:i w:val="0"/>
          <w:sz w:val="21"/>
        </w:rPr>
        <w:t>Cold Chain Shipment Silent Failure Dataset：https://www.kaggle.com/datasets/skarin/cold-chain-shipment-silent-failure-dataset</w:t>
      </w:r>
    </w:p>
    <w:p>
      <w:pPr>
        <w:pStyle w:val="ListBullet"/>
        <w:spacing w:after="40" w:line="300" w:lineRule="auto"/>
      </w:pPr>
      <w:r>
        <w:rPr>
          <w:rFonts w:ascii="Arial" w:hAnsi="Arial" w:eastAsia="微软雅黑"/>
          <w:b w:val="0"/>
          <w:i w:val="0"/>
          <w:sz w:val="21"/>
        </w:rPr>
        <w:t>Vaccine Distribution with Temperature Logging：https://www.kaggle.com/datasets/manankhanna0/vaccine-distribution-with-temperature-logging</w:t>
      </w:r>
    </w:p>
    <w:p>
      <w:pPr>
        <w:pStyle w:val="ListBullet"/>
        <w:spacing w:after="40" w:line="300" w:lineRule="auto"/>
      </w:pPr>
      <w:r>
        <w:rPr>
          <w:rFonts w:ascii="Arial" w:hAnsi="Arial" w:eastAsia="微软雅黑"/>
          <w:b w:val="0"/>
          <w:i w:val="0"/>
          <w:sz w:val="21"/>
        </w:rPr>
        <w:t>Electric Sheep Africa vaccine-cold-chain：https://huggingface.co/datasets/electricsheepafrica/vaccine-cold-chain</w:t>
      </w:r>
    </w:p>
    <w:p>
      <w:pPr>
        <w:pStyle w:val="ListBullet"/>
        <w:spacing w:after="40" w:line="300" w:lineRule="auto"/>
      </w:pPr>
      <w:r>
        <w:rPr>
          <w:rFonts w:ascii="Arial" w:hAnsi="Arial" w:eastAsia="微软雅黑"/>
          <w:b w:val="0"/>
          <w:i w:val="0"/>
          <w:sz w:val="21"/>
        </w:rPr>
        <w:t>Africa Synth Immunization Vaccine Quality Cold Chain All：https://huggingface.co/datasets/electricsheepafrica/africa-synth-immunization-vaccine-quality-cold-chain-all</w:t>
      </w:r>
    </w:p>
    <w:p>
      <w:pPr>
        <w:pStyle w:val="ListBullet"/>
        <w:spacing w:after="40" w:line="300" w:lineRule="auto"/>
      </w:pPr>
      <w:r>
        <w:rPr>
          <w:rFonts w:ascii="Arial" w:hAnsi="Arial" w:eastAsia="微软雅黑"/>
          <w:b w:val="0"/>
          <w:i w:val="0"/>
          <w:sz w:val="21"/>
        </w:rPr>
        <w:t>CVRPLIB：http://vrp.atd-lab.inf.puc-rio.br/index.php/en/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