
<file path=[Content_Types].xml><?xml version="1.0" encoding="utf-8"?>
<Types xmlns="http://schemas.openxmlformats.org/package/2006/content-types">
  <Default Extension="svg" ContentType="image/svg+xml"/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="http://schemas.openxmlformats.org/wordprocessingml/2006/main" xmlns:r="http://schemas.openxmlformats.org/officeDocument/2006/relationships" xmlns:xml="http://www.w3.org/XML/1998/namespace" xmlns:wp="http://schemas.openxmlformats.org/drawingml/2006/wordprocessingDrawing" xmlns:a="http://schemas.openxmlformats.org/drawingml/2006/main" xmlns:pic="http://schemas.openxmlformats.org/drawingml/2006/picture">
  <w:body>
    <w:p>
      <w:pPr>
        <w:keepNext/>
        <w:spacing w:before="0" w:after="80" w:line="320" w:lineRule="auto"/>
      </w:pPr>
      <w:r>
        <w:rPr>
          <w:rFonts w:ascii="Aptos" w:hAnsi="Aptos" w:eastAsia="Microsoft YaHei"/>
          <w:sz w:val="40"/>
          <w:szCs w:val="40"/>
          <w:color w:val="000000"/>
          <w:b/>
          <w:bCs/>
        </w:rPr>
        <w:t>PharmaColdOps</w:t>
      </w:r>
    </w:p>
    <w:p>
      <w:pPr>
        <w:keepNext/>
        <w:spacing w:before="260" w:after="100" w:line="300" w:lineRule="auto"/>
      </w:pPr>
      <w:r>
        <w:rPr>
          <w:rFonts w:ascii="Aptos" w:hAnsi="Aptos" w:eastAsia="Microsoft YaHei"/>
          <w:sz w:val="28"/>
          <w:szCs w:val="28"/>
          <w:color w:val="000000"/>
          <w:b/>
          <w:bCs/>
        </w:rPr>
        <w:t>冷链药品温度偏移处置与配送改派决策支持原型</w:t>
      </w:r>
    </w:p>
    <w:p>
      <w:pPr>
        <w:spacing w:before="0" w:after="80" w:line="276" w:lineRule="auto"/>
      </w:pPr>
      <w:r>
        <w:rPr>
          <w:rFonts w:ascii="Aptos" w:hAnsi="Aptos" w:eastAsia="Microsoft YaHei"/>
          <w:sz w:val="23"/>
          <w:szCs w:val="23"/>
          <w:color w:val="000000"/>
          <w:b/>
          <w:bCs/>
        </w:rPr>
        <w:t>正式项目提案（4 人团队）</w:t>
      </w:r>
    </w:p>
    <w:p>
      <w:pPr>
        <w:spacing w:before="0" w:after="95" w:line="276" w:lineRule="auto"/>
      </w:pPr>
      <w:r>
        <w:rPr>
          <w:rFonts w:ascii="Aptos" w:hAnsi="Aptos" w:eastAsia="Microsoft YaHei"/>
          <w:sz w:val="21"/>
          <w:szCs w:val="21"/>
          <w:color w:val="000000"/>
        </w:rPr>
        <w:t>课程：IRS 实践模块 · 团队规模：4 人（每人约 10 人日） 提案提交截止：2026-09-13 · 最终提交截止：2026-10-25 本版更新：2026-09-13 · 状态：内容修订稿，尚待团队终审与提交</w:t>
      </w:r>
    </w:p>
    <w:p>
      <w:pPr>
        <w:spacing w:before="0" w:after="95" w:line="276" w:lineRule="auto"/>
      </w:pPr>
      <w:r>
        <w:rPr>
          <w:rFonts w:ascii="Aptos" w:hAnsi="Aptos" w:eastAsia="Microsoft YaHei"/>
          <w:sz w:val="21"/>
          <w:szCs w:val="21"/>
          <w:color w:val="000000"/>
        </w:rPr>
        <w:t>组名：Project Group 52（Canvas 注册）。成员：Xu Wenzhe（A0328771W）、Zhu Jianyu（A0353769L）、Wang Lepeng（A0357864L）、Shen Ziyi（A0350940J）。本文以 A/B/C/D 表示职责，对照见 §10.1。</w:t>
      </w:r>
    </w:p>
    <w:p>
      <w:pPr>
        <w:keepNext/>
        <w:spacing w:before="260" w:after="100" w:line="300" w:lineRule="auto"/>
      </w:pPr>
      <w:r>
        <w:rPr>
          <w:rFonts w:ascii="Aptos" w:hAnsi="Aptos" w:eastAsia="Microsoft YaHei"/>
          <w:sz w:val="28"/>
          <w:szCs w:val="28"/>
          <w:color w:val="000000"/>
          <w:b/>
          <w:bCs/>
        </w:rPr>
        <w:t>1. 项目概述</w:t>
      </w:r>
    </w:p>
    <w:p>
      <w:pPr>
        <w:spacing w:before="0" w:after="95" w:line="276" w:lineRule="auto"/>
      </w:pPr>
      <w:r>
        <w:rPr>
          <w:rFonts w:ascii="Aptos" w:hAnsi="Aptos" w:eastAsia="Microsoft YaHei"/>
          <w:sz w:val="21"/>
          <w:szCs w:val="21"/>
          <w:color w:val="000000"/>
        </w:rPr>
        <w:t>PharmaColdOps 面向药品冷链运输与仓储中的温度偏移评估，以确定性规则引擎产生可追溯的处置建议，并将补发需求连接到配送优化与知识图谱查询。批次处置分为放行、隔离、复检和报废四类；补发是独立物流动作，不是第五个互斥处置类别。</w:t>
      </w:r>
    </w:p>
    <w:p>
      <w:pPr>
        <w:spacing w:before="0" w:after="95" w:line="276" w:lineRule="auto"/>
      </w:pPr>
      <w:r>
        <w:rPr>
          <w:rFonts w:ascii="Aptos" w:hAnsi="Aptos" w:eastAsia="Microsoft YaHei"/>
          <w:sz w:val="21"/>
          <w:szCs w:val="21"/>
          <w:color w:val="000000"/>
        </w:rPr>
        <w:t>项目覆盖 IRS 的决策自动化、资源优化、知识发现与数据挖掘、认知系统四个技术组。交付目标是在受控的新加坡配送算例中演示“温度事件 → 处置建议 → 补发单 → 配送方案 → 证据查询”的最小闭环。风险预测与候选根因分类作为离线实验，不进入处置 API。</w:t>
      </w:r>
    </w:p>
    <w:p>
      <w:pPr>
        <w:spacing w:before="0" w:after="95" w:line="276" w:lineRule="auto"/>
      </w:pPr>
      <w:r>
        <w:rPr>
          <w:rFonts w:ascii="Aptos" w:hAnsi="Aptos" w:eastAsia="Microsoft YaHei"/>
          <w:sz w:val="21"/>
          <w:szCs w:val="21"/>
          <w:color w:val="000000"/>
        </w:rPr>
        <w:t>本项目现已具备规则引擎、双语界面、独立标注场景库、离线 ML 基线、新加坡路线求解、订单驱动的补发求解、KG 结案写入代码，以及唯一的 Vue 客户端（旧 vanilla 静态页已于 2026-09-12 退役，故 Vue 是唯一前端）。在线模式下客户端会求解并展示已结案案例的补发路线、查询该案例的图谱证据，并把该案例提交进实时配送作业——预留库存、分配车辆、发车、按模拟时钟跟踪、逐单送达。图谱链路已于 2026-09-13 在 docker compose 管理的 Neo4j 上完成端到端验证。结案表单传入异常地点字段、扩充候选目的地池仍待建设。本原型不替代质量负责人的最终审批，不宣称已通过生产环境或正式合规验证。</w:t>
      </w:r>
    </w:p>
    <w:p>
      <w:pPr>
        <w:keepNext/>
        <w:spacing w:before="260" w:after="100" w:line="300" w:lineRule="auto"/>
      </w:pPr>
      <w:r>
        <w:rPr>
          <w:rFonts w:ascii="Aptos" w:hAnsi="Aptos" w:eastAsia="Microsoft YaHei"/>
          <w:sz w:val="28"/>
          <w:szCs w:val="28"/>
          <w:color w:val="000000"/>
          <w:b/>
          <w:bCs/>
        </w:rPr>
        <w:t>2. 问题定义</w:t>
      </w:r>
    </w:p>
    <w:p>
      <w:pPr>
        <w:spacing w:before="0" w:after="95" w:line="276" w:lineRule="auto"/>
      </w:pPr>
      <w:r>
        <w:rPr>
          <w:rFonts w:ascii="Aptos" w:hAnsi="Aptos" w:eastAsia="Microsoft YaHei"/>
          <w:sz w:val="21"/>
          <w:szCs w:val="21"/>
          <w:color w:val="000000"/>
        </w:rPr>
        <w:t>温度偏移发生后，质量人员需要核对产品要求、偏移条件与包装信息，记录评估理由，再协调后续供应。项目关注三个可验证的问题：</w:t>
      </w:r>
    </w:p>
    <w:p>
      <w:pPr>
        <w:spacing w:before="0" w:after="65" w:line="276" w:lineRule="auto"/>
        <w:ind w:left="420" w:hanging="220"/>
      </w:pPr>
      <w:r>
        <w:rPr>
          <w:rFonts w:ascii="Aptos" w:hAnsi="Aptos" w:eastAsia="Microsoft YaHei"/>
          <w:sz w:val="21"/>
          <w:szCs w:val="21"/>
          <w:color w:val="000000"/>
        </w:rPr>
        <w:t>• 同一套书面规则能否被稳定实现，并暴露规则文本与人工判断之间的分歧？</w:t>
      </w:r>
    </w:p>
    <w:p>
      <w:pPr>
        <w:spacing w:before="0" w:after="65" w:line="276" w:lineRule="auto"/>
        <w:ind w:left="420" w:hanging="220"/>
      </w:pPr>
      <w:r>
        <w:rPr>
          <w:rFonts w:ascii="Aptos" w:hAnsi="Aptos" w:eastAsia="Microsoft YaHei"/>
          <w:sz w:val="21"/>
          <w:szCs w:val="21"/>
          <w:color w:val="000000"/>
        </w:rPr>
        <w:t>• 在车辆容量与配送时间窗约束下，优化方案相对贪心基线能改善多少距离和服务可行性？</w:t>
      </w:r>
    </w:p>
    <w:p>
      <w:pPr>
        <w:spacing w:before="0" w:after="65" w:line="276" w:lineRule="auto"/>
        <w:ind w:left="420" w:hanging="220"/>
      </w:pPr>
      <w:r>
        <w:rPr>
          <w:rFonts w:ascii="Aptos" w:hAnsi="Aptos" w:eastAsia="Microsoft YaHei"/>
          <w:sz w:val="21"/>
          <w:szCs w:val="21"/>
          <w:color w:val="000000"/>
        </w:rPr>
        <w:t>• 用户能否从结案记录追溯输入、规则路径与证据，并在缺少记录时获得明确反馈？</w:t>
      </w:r>
    </w:p>
    <w:p>
      <w:pPr>
        <w:spacing w:before="0" w:after="95" w:line="276" w:lineRule="auto"/>
      </w:pPr>
      <w:r>
        <w:rPr>
          <w:rFonts w:ascii="Aptos" w:hAnsi="Aptos" w:eastAsia="Microsoft YaHei"/>
          <w:sz w:val="21"/>
          <w:szCs w:val="21"/>
          <w:color w:val="000000"/>
        </w:rPr>
        <w:t>减少人工评估时间、避免不当处置和缓解供应中断是预期业务价值。当前没有真实运营对照试验，不能将其表述为已量化实现的收益。</w:t>
      </w:r>
    </w:p>
    <w:p>
      <w:pPr>
        <w:keepNext/>
        <w:spacing w:before="260" w:after="100" w:line="300" w:lineRule="auto"/>
      </w:pPr>
      <w:r>
        <w:rPr>
          <w:rFonts w:ascii="Aptos" w:hAnsi="Aptos" w:eastAsia="Microsoft YaHei"/>
          <w:sz w:val="28"/>
          <w:szCs w:val="28"/>
          <w:color w:val="000000"/>
          <w:b/>
          <w:bCs/>
        </w:rPr>
        <w:t>3. 背景与领域基础</w:t>
      </w:r>
    </w:p>
    <w:p>
      <w:pPr>
        <w:keepNext/>
        <w:spacing w:before="180" w:after="80" w:line="286" w:lineRule="auto"/>
      </w:pPr>
      <w:r>
        <w:rPr>
          <w:rFonts w:ascii="Aptos" w:hAnsi="Aptos" w:eastAsia="Microsoft YaHei"/>
          <w:sz w:val="24"/>
          <w:szCs w:val="24"/>
          <w:color w:val="000000"/>
          <w:b/>
          <w:bCs/>
        </w:rPr>
        <w:t>3.1 法规原则与适用边界</w:t>
      </w:r>
    </w:p>
    <w:p>
      <w:pPr>
        <w:spacing w:before="0" w:after="95" w:line="276" w:lineRule="auto"/>
      </w:pPr>
      <w:r>
        <w:rPr>
          <w:rFonts w:ascii="Aptos" w:hAnsi="Aptos" w:eastAsia="Microsoft YaHei"/>
          <w:sz w:val="21"/>
          <w:szCs w:val="21"/>
          <w:color w:val="000000"/>
        </w:rPr>
        <w:t>领域知识来源包括 WHO TRS 961 Annex 9、EU GDP 2013/C 343/01、ICH 稳定性与质量风险管理指南，以及 CDC/WHO 公开程序性指引。具体产品的可接受偏移窗口仍需对应产品的稳定性证据。WHO (https://www.who.int/publications/m/item/trs961-annex9-modelguidanceforstoragetransport)、EU GDP (https://eur-lex.europa.eu/legal-content/EN/TXT/?uri=CELEX%3A32013C0343)、ICH (https://www.ich.org/page/quality-guidelines)</w:t>
      </w:r>
    </w:p>
    <w:p>
      <w:pPr>
        <w:spacing w:before="0" w:after="95" w:line="276" w:lineRule="auto"/>
      </w:pPr>
      <w:r>
        <w:rPr>
          <w:rFonts w:ascii="Aptos" w:hAnsi="Aptos" w:eastAsia="Microsoft YaHei"/>
          <w:sz w:val="21"/>
          <w:szCs w:val="21"/>
          <w:color w:val="000000"/>
        </w:rPr>
        <w:t>本项目区分公开领域原则、产品稳定性资料和工程假设。当前配置记录了来源与限制，但允许偏移时长、MKT 阈值、部分复检设置及规则倍率仍含工程假设，不是法规直接给出的通用数值。关联法规节点不证明某个阈值已得到产品级验证。</w:t>
      </w:r>
    </w:p>
    <w:p>
      <w:pPr>
        <w:spacing w:before="0" w:after="95" w:line="276" w:lineRule="auto"/>
      </w:pPr>
      <w:r>
        <w:rPr>
          <w:rFonts w:ascii="Aptos" w:hAnsi="Aptos" w:eastAsia="Microsoft YaHei"/>
          <w:sz w:val="21"/>
          <w:szCs w:val="21"/>
          <w:color w:val="000000"/>
        </w:rPr>
        <w:t>CDC 的疫苗偏移指引要求暂停使用受影响疫苗，并联系免疫项目或厂商获取处置指导。本原型输出应理解为待质量复核的建议，不能用演示阈值直接授权实际产品放行或销毁。CDC 储存与处理指南 (https://www.cdc.gov/pinkbook/hcp/table-of-contents/chapter-5-vaccine-storage-and-handling.html)</w:t>
      </w:r>
    </w:p>
    <w:p>
      <w:pPr>
        <w:keepNext/>
        <w:spacing w:before="180" w:after="80" w:line="286" w:lineRule="auto"/>
      </w:pPr>
      <w:r>
        <w:rPr>
          <w:rFonts w:ascii="Aptos" w:hAnsi="Aptos" w:eastAsia="Microsoft YaHei"/>
          <w:sz w:val="24"/>
          <w:szCs w:val="24"/>
          <w:color w:val="000000"/>
          <w:b/>
          <w:bCs/>
        </w:rPr>
        <w:t>3.2 相关工作与方法选择</w:t>
      </w:r>
    </w:p>
    <w:p>
      <w:pPr>
        <w:spacing w:before="0" w:after="95" w:line="276" w:lineRule="auto"/>
      </w:pPr>
      <w:r>
        <w:rPr>
          <w:rFonts w:ascii="Aptos" w:hAnsi="Aptos" w:eastAsia="Microsoft YaHei"/>
          <w:sz w:val="21"/>
          <w:szCs w:val="21"/>
          <w:color w:val="000000"/>
        </w:rPr>
        <w:t>Solomon 的 VRPTW 基准提供带容量和时间窗的标准配送问题。本项目用 6 个实例比较算法，再用新加坡道路矩阵展示地理场景。OR-Tools Routing Solver 提供路径构造与局部搜索，本项目采用限时 Guided Local Search。Solomon, 1987 (https://doi.org/10.1287/opre.35.2.254)、OR-Tools (https://developers.google.com/optimization/routing/routing_options)</w:t>
      </w:r>
    </w:p>
    <w:p>
      <w:pPr>
        <w:spacing w:before="0" w:after="95" w:line="276" w:lineRule="auto"/>
      </w:pPr>
      <w:r>
        <w:rPr>
          <w:rFonts w:ascii="Aptos" w:hAnsi="Aptos" w:eastAsia="Microsoft YaHei"/>
          <w:sz w:val="21"/>
          <w:szCs w:val="21"/>
          <w:color w:val="000000"/>
        </w:rPr>
        <w:t>风险实验采用逻辑回归、LightGBM 和 XGBoost；SHAP 用于解释模型对表格特征的依赖。认知模块采用结构化图谱和模板查询，范围限定为已存储案例、规则及证据。方法原始论文见 §14。特征归因和观察数据上的原因分类不等于因果识别。</w:t>
      </w:r>
    </w:p>
    <w:p>
      <w:pPr>
        <w:spacing w:before="0" w:after="95" w:line="276" w:lineRule="auto"/>
      </w:pPr>
      <w:r>
        <w:rPr>
          <w:rFonts w:ascii="Aptos" w:hAnsi="Aptos" w:eastAsia="Microsoft YaHei"/>
          <w:sz w:val="21"/>
          <w:szCs w:val="21"/>
          <w:color w:val="000000"/>
        </w:rPr>
        <w:t>项目贡献是上述方法在受控流程中的集成与可复现评估，不主张提出新基础算法或首次将这些技术用于冷链。</w:t>
      </w:r>
    </w:p>
    <w:p>
      <w:pPr>
        <w:keepNext/>
        <w:spacing w:before="180" w:after="80" w:line="286" w:lineRule="auto"/>
      </w:pPr>
      <w:r>
        <w:rPr>
          <w:rFonts w:ascii="Aptos" w:hAnsi="Aptos" w:eastAsia="Microsoft YaHei"/>
          <w:sz w:val="24"/>
          <w:szCs w:val="24"/>
          <w:color w:val="000000"/>
          <w:b/>
          <w:bCs/>
        </w:rPr>
        <w:t>3.3 市场背景与定位</w:t>
      </w:r>
    </w:p>
    <w:p>
      <w:pPr>
        <w:spacing w:before="0" w:after="95" w:line="276" w:lineRule="auto"/>
      </w:pPr>
      <w:r>
        <w:rPr>
          <w:rFonts w:ascii="Aptos" w:hAnsi="Aptos" w:eastAsia="Microsoft YaHei"/>
          <w:sz w:val="21"/>
          <w:szCs w:val="21"/>
          <w:color w:val="000000"/>
        </w:rPr>
        <w:t>商业产品已覆盖温度监控、运输可视化和部分质量流程自动化。例如，Controlant 的 Product Stability Automation 描述了依据产品稳定性档案自动确定放行状态的能力，不能把现有厂商概括为“只告警、没有处置能力”。Controlant 产品说明 (https://www.controlant.com/applications)</w:t>
      </w:r>
    </w:p>
    <w:p>
      <w:pPr>
        <w:spacing w:before="0" w:after="95" w:line="276" w:lineRule="auto"/>
      </w:pPr>
      <w:r>
        <w:rPr>
          <w:rFonts w:ascii="Aptos" w:hAnsi="Aptos" w:eastAsia="Microsoft YaHei"/>
          <w:sz w:val="21"/>
          <w:szCs w:val="21"/>
          <w:color w:val="000000"/>
        </w:rPr>
        <w:t>本项目定位为可检查规则、可复现实验、可演示配送联动的教学研究原型。比较维度包括规则透明度、证据追溯、配送接口和部署范围；未核实的竞品能力标为未知，不把缺少公开说明视作功能不存在。市场价值仍需用户访谈和运营数据检验。</w:t>
      </w:r>
    </w:p>
    <w:p>
      <w:pPr>
        <w:spacing w:before="120" w:after="90" w:line="276" w:lineRule="auto"/>
        <w:jc w:val="center"/>
      </w:pPr>
      <w:r>
        <w:drawing>
          <wp:inline distT="0" distB="0" distL="0" distR="0">
            <wp:extent cx="5669280" cy="3188970"/>
            <wp:effectExtent l="0" t="0" r="0" b="0"/>
            <wp:docPr id="1" name="图 1 能力与范围对照" descr="图 1 能力与范围对照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" name="图 1 能力与范围对照"/>
                    <pic:cNvPicPr>
                      <a:picLocks noChangeAspect="1" noChangeArrowheads="1"/>
                    </pic:cNvPicPr>
                  </pic:nvPicPr>
                  <pic:blipFill>
                    <a:blip r:embed="rIdImg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3188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95" w:line="276" w:lineRule="auto"/>
      </w:pPr>
      <w:r>
        <w:rPr>
          <w:rFonts w:ascii="Aptos" w:hAnsi="Aptos" w:eastAsia="Microsoft YaHei"/>
          <w:sz w:val="21"/>
          <w:szCs w:val="21"/>
          <w:color w:val="000000"/>
          <w:b/>
          <w:bCs/>
        </w:rPr>
        <w:t>图 1：</w:t>
      </w:r>
      <w:r>
        <w:rPr>
          <w:rFonts w:ascii="Aptos" w:hAnsi="Aptos" w:eastAsia="Microsoft YaHei"/>
          <w:sz w:val="21"/>
          <w:szCs w:val="21"/>
          <w:color w:val="000000"/>
        </w:rPr>
        <w:t>冷链决策支持能力与本项目范围，不是竞品性能排名。</w:t>
      </w:r>
    </w:p>
    <w:p>
      <w:pPr>
        <w:keepNext/>
        <w:spacing w:before="260" w:after="100" w:line="300" w:lineRule="auto"/>
      </w:pPr>
      <w:r>
        <w:rPr>
          <w:rFonts w:ascii="Aptos" w:hAnsi="Aptos" w:eastAsia="Microsoft YaHei"/>
          <w:sz w:val="28"/>
          <w:szCs w:val="28"/>
          <w:color w:val="000000"/>
          <w:b/>
          <w:bCs/>
        </w:rPr>
        <w:t>4. 利益相关方与预期价值</w:t>
      </w:r>
    </w:p>
    <w:tbl>
      <w:tblPr>
        <w:tblW w:w="9360" w:type="dxa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  <w:tblLook w:firstRow="1" w:lastRow="0" w:firstColumn="0" w:lastColumn="0" w:noHBand="0" w:noVBand="1"/>
      </w:tblPr>
      <w:tblGrid>
        <w:gridCol w:w="3120"/>
        <w:gridCol w:w="3120"/>
        <w:gridCol w:w="3120"/>
      </w:tblGrid>
      <w:tr>
        <w:tc>
          <w:tcPr>
            <w:tcW w:w="3120" w:type="dxa"/>
            <w:shd w:fill="1F4E79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FFFFFF"/>
                <w:b/>
                <w:bCs/>
              </w:rPr>
              <w:t>用户</w:t>
            </w:r>
          </w:p>
        </w:tc>
        <w:tc>
          <w:tcPr>
            <w:tcW w:w="3120" w:type="dxa"/>
            <w:shd w:fill="1F4E79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FFFFFF"/>
                <w:b/>
                <w:bCs/>
              </w:rPr>
              <w:t>工作需求</w:t>
            </w:r>
          </w:p>
        </w:tc>
        <w:tc>
          <w:tcPr>
            <w:tcW w:w="3120" w:type="dxa"/>
            <w:shd w:fill="1F4E79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FFFFFF"/>
                <w:b/>
                <w:bCs/>
              </w:rPr>
              <w:t>原型支持</w:t>
            </w:r>
          </w:p>
        </w:tc>
      </w:tr>
      <w:tr>
        <w:tc>
          <w:tcPr>
            <w:tcW w:w="312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质量负责人</w:t>
            </w:r>
          </w:p>
        </w:tc>
        <w:tc>
          <w:tcPr>
            <w:tcW w:w="312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复核偏移与处置依据</w:t>
            </w:r>
          </w:p>
        </w:tc>
        <w:tc>
          <w:tcPr>
            <w:tcW w:w="312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输入快照、规则路径、证据来源和限制</w:t>
            </w:r>
          </w:p>
        </w:tc>
      </w:tr>
      <w:tr>
        <w:tc>
          <w:tcPr>
            <w:tcW w:w="312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物流调度员</w:t>
            </w:r>
          </w:p>
        </w:tc>
        <w:tc>
          <w:tcPr>
            <w:tcW w:w="312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根据补发需求安排配送</w:t>
            </w:r>
          </w:p>
        </w:tc>
        <w:tc>
          <w:tcPr>
            <w:tcW w:w="312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容量与时间窗约束下的候选路线</w:t>
            </w:r>
          </w:p>
        </w:tc>
      </w:tr>
      <w:tr>
        <w:tc>
          <w:tcPr>
            <w:tcW w:w="312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仓储与运输主管</w:t>
            </w:r>
          </w:p>
        </w:tc>
        <w:tc>
          <w:tcPr>
            <w:tcW w:w="312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调查异常相关因素</w:t>
            </w:r>
          </w:p>
        </w:tc>
        <w:tc>
          <w:tcPr>
            <w:tcW w:w="312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离线风险分析与候选原因</w:t>
            </w:r>
          </w:p>
        </w:tc>
      </w:tr>
      <w:tr>
        <w:tc>
          <w:tcPr>
            <w:tcW w:w="312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审计人员</w:t>
            </w:r>
          </w:p>
        </w:tc>
        <w:tc>
          <w:tcPr>
            <w:tcW w:w="312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重建一次评估过程</w:t>
            </w:r>
          </w:p>
        </w:tc>
        <w:tc>
          <w:tcPr>
            <w:tcW w:w="312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结案记录、关联标识与证据查询</w:t>
            </w:r>
          </w:p>
        </w:tc>
      </w:tr>
    </w:tbl>
    <w:p>
      <w:pPr>
        <w:spacing w:before="0" w:after="95" w:line="276" w:lineRule="auto"/>
      </w:pPr>
      <w:r>
        <w:rPr>
          <w:rFonts w:ascii="Aptos" w:hAnsi="Aptos" w:eastAsia="Microsoft YaHei"/>
          <w:sz w:val="21"/>
          <w:szCs w:val="21"/>
          <w:color w:val="000000"/>
        </w:rPr>
        <w:t>最终审批与配送执行由人员负责。项目不收集患者数据，不评估临床结局。</w:t>
      </w:r>
    </w:p>
    <w:p>
      <w:pPr>
        <w:keepNext/>
        <w:spacing w:before="260" w:after="100" w:line="300" w:lineRule="auto"/>
      </w:pPr>
      <w:r>
        <w:rPr>
          <w:rFonts w:ascii="Aptos" w:hAnsi="Aptos" w:eastAsia="Microsoft YaHei"/>
          <w:sz w:val="28"/>
          <w:szCs w:val="28"/>
          <w:color w:val="000000"/>
          <w:b/>
          <w:bCs/>
        </w:rPr>
        <w:t>5. 总体系统方案</w:t>
      </w:r>
    </w:p>
    <w:p>
      <w:pPr>
        <w:keepNext/>
        <w:spacing w:before="180" w:after="80" w:line="286" w:lineRule="auto"/>
      </w:pPr>
      <w:r>
        <w:rPr>
          <w:rFonts w:ascii="Aptos" w:hAnsi="Aptos" w:eastAsia="Microsoft YaHei"/>
          <w:sz w:val="24"/>
          <w:szCs w:val="24"/>
          <w:color w:val="000000"/>
          <w:b/>
          <w:bCs/>
        </w:rPr>
        <w:t>5.1 目标工作流</w:t>
      </w:r>
    </w:p>
    <w:p>
      <w:pPr>
        <w:spacing w:before="0" w:after="65" w:line="276" w:lineRule="auto"/>
        <w:ind w:left="420" w:hanging="260"/>
      </w:pPr>
      <w:r>
        <w:rPr>
          <w:rFonts w:ascii="Aptos" w:hAnsi="Aptos" w:eastAsia="Microsoft YaHei"/>
          <w:sz w:val="21"/>
          <w:szCs w:val="21"/>
          <w:color w:val="000000"/>
        </w:rPr>
        <w:t>1. 输入有明确产品类别的温度事件。当前通过表单或演示数据输入，序列解析为后续数据任务。</w:t>
      </w:r>
    </w:p>
    <w:p>
      <w:pPr>
        <w:spacing w:before="0" w:after="65" w:line="276" w:lineRule="auto"/>
        <w:ind w:left="420" w:hanging="260"/>
      </w:pPr>
      <w:r>
        <w:rPr>
          <w:rFonts w:ascii="Aptos" w:hAnsi="Aptos" w:eastAsia="Microsoft YaHei"/>
          <w:sz w:val="21"/>
          <w:szCs w:val="21"/>
          <w:color w:val="000000"/>
        </w:rPr>
        <w:t>2. 规则引擎返回四类处置之一、补发标志、规则编号、理由和证据状态。</w:t>
      </w:r>
    </w:p>
    <w:p>
      <w:pPr>
        <w:spacing w:before="0" w:after="65" w:line="276" w:lineRule="auto"/>
        <w:ind w:left="420" w:hanging="260"/>
      </w:pPr>
      <w:r>
        <w:rPr>
          <w:rFonts w:ascii="Aptos" w:hAnsi="Aptos" w:eastAsia="Microsoft YaHei"/>
          <w:sz w:val="21"/>
          <w:szCs w:val="21"/>
          <w:color w:val="000000"/>
        </w:rPr>
        <w:t>3. 质量人员复核建议。当前结案仅保存输入与系统建议；最终人工决定与审批人字段待设计，配送运行状态另记接受、出发与逐单送达。</w:t>
      </w:r>
    </w:p>
    <w:p>
      <w:pPr>
        <w:spacing w:before="0" w:after="65" w:line="276" w:lineRule="auto"/>
        <w:ind w:left="420" w:hanging="260"/>
      </w:pPr>
      <w:r>
        <w:rPr>
          <w:rFonts w:ascii="Aptos" w:hAnsi="Aptos" w:eastAsia="Microsoft YaHei"/>
          <w:sz w:val="21"/>
          <w:szCs w:val="21"/>
          <w:color w:val="000000"/>
        </w:rPr>
        <w:t>4. 需要补发时，依据已确认的契约提交含目的地、数量与时间窗的模拟补发单，交由单仓求解器求解。契约、求解器与运行状态持久化均已实现并通过测试；案例—订单—路线连接于 2026-09-12 落地，并在 2026-09-13 完成端到端复核。Vue 客户端经 /api/dispatch/* 端点完成排线、发车、模拟时钟跟踪与紧急插单；已结案案例可被提交进该实时作业（预留库存并分配车辆）。</w:t>
      </w:r>
    </w:p>
    <w:p>
      <w:pPr>
        <w:spacing w:before="0" w:after="65" w:line="276" w:lineRule="auto"/>
        <w:ind w:left="420" w:hanging="260"/>
      </w:pPr>
      <w:r>
        <w:rPr>
          <w:rFonts w:ascii="Aptos" w:hAnsi="Aptos" w:eastAsia="Microsoft YaHei"/>
          <w:sz w:val="21"/>
          <w:szCs w:val="21"/>
          <w:color w:val="000000"/>
        </w:rPr>
        <w:t>5. 关联案例和配送结果，展示站序、距离、排程与未服务订单，并查询本次案例的图谱证据。案例—订单—路线—证据的关联与前端查询接线已于 2026-09-12 接通（离线模式保留固定演示路线与关键词问答兜底）；选择目的地与数量的界面待建。</w:t>
      </w:r>
    </w:p>
    <w:p>
      <w:pPr>
        <w:spacing w:before="0" w:after="95" w:line="276" w:lineRule="auto"/>
      </w:pPr>
      <w:r>
        <w:rPr>
          <w:rFonts w:ascii="Aptos" w:hAnsi="Aptos" w:eastAsia="Microsoft YaHei"/>
          <w:sz w:val="21"/>
          <w:szCs w:val="21"/>
          <w:color w:val="000000"/>
        </w:rPr>
        <w:t>结案归档不等于获得真实业务结果。自动反馈学习不在 MVP 内。</w:t>
      </w:r>
    </w:p>
    <w:p>
      <w:pPr>
        <w:keepNext/>
        <w:spacing w:before="180" w:after="80" w:line="286" w:lineRule="auto"/>
      </w:pPr>
      <w:r>
        <w:rPr>
          <w:rFonts w:ascii="Aptos" w:hAnsi="Aptos" w:eastAsia="Microsoft YaHei"/>
          <w:sz w:val="24"/>
          <w:szCs w:val="24"/>
          <w:color w:val="000000"/>
          <w:b/>
          <w:bCs/>
        </w:rPr>
        <w:t>5.2 当前进展</w:t>
      </w:r>
    </w:p>
    <w:tbl>
      <w:tblPr>
        <w:tblW w:w="9360" w:type="dxa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  <w:tblLook w:firstRow="1" w:lastRow="0" w:firstColumn="0" w:lastColumn="0" w:noHBand="0" w:noVBand="1"/>
      </w:tblPr>
      <w:tblGrid>
        <w:gridCol w:w="3120"/>
        <w:gridCol w:w="3120"/>
        <w:gridCol w:w="3120"/>
      </w:tblGrid>
      <w:tr>
        <w:tc>
          <w:tcPr>
            <w:tcW w:w="3120" w:type="dxa"/>
            <w:shd w:fill="1F4E79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FFFFFF"/>
                <w:b/>
                <w:bCs/>
              </w:rPr>
              <w:t>模块</w:t>
            </w:r>
          </w:p>
        </w:tc>
        <w:tc>
          <w:tcPr>
            <w:tcW w:w="3120" w:type="dxa"/>
            <w:shd w:fill="1F4E79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FFFFFF"/>
                <w:b/>
                <w:bCs/>
              </w:rPr>
              <w:t>截至 2026-09-13 的状态</w:t>
            </w:r>
          </w:p>
        </w:tc>
        <w:tc>
          <w:tcPr>
            <w:tcW w:w="3120" w:type="dxa"/>
            <w:shd w:fill="1F4E79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FFFFFF"/>
                <w:b/>
                <w:bCs/>
              </w:rPr>
              <w:t>待补齐</w:t>
            </w:r>
          </w:p>
        </w:tc>
      </w:tr>
      <w:tr>
        <w:tc>
          <w:tcPr>
            <w:tcW w:w="312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M1 数据准备</w:t>
            </w:r>
          </w:p>
        </w:tc>
        <w:tc>
          <w:tcPr>
            <w:tcW w:w="312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数据、字典、许可核实及审计脚本已有</w:t>
            </w:r>
          </w:p>
        </w:tc>
        <w:tc>
          <w:tcPr>
            <w:tcW w:w="312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任务定义和复现环境</w:t>
            </w:r>
          </w:p>
        </w:tc>
      </w:tr>
      <w:tr>
        <w:tc>
          <w:tcPr>
            <w:tcW w:w="312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M2 事件生成</w:t>
            </w:r>
          </w:p>
        </w:tc>
        <w:tc>
          <w:tcPr>
            <w:tcW w:w="312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演示导出已有，MKT 为单点近似</w:t>
            </w:r>
          </w:p>
        </w:tc>
        <w:tc>
          <w:tcPr>
            <w:tcW w:w="312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序列窗口、MKT 实现与验证</w:t>
            </w:r>
          </w:p>
        </w:tc>
      </w:tr>
      <w:tr>
        <w:tc>
          <w:tcPr>
            <w:tcW w:w="312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M3 规则引擎</w:t>
            </w:r>
          </w:p>
        </w:tc>
        <w:tc>
          <w:tcPr>
            <w:tcW w:w="312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4 类别原型、6 规则、API、57 场景人工 gold</w:t>
            </w:r>
          </w:p>
        </w:tc>
        <w:tc>
          <w:tcPr>
            <w:tcW w:w="312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领域复核、分歧分析和正式评估</w:t>
            </w:r>
          </w:p>
        </w:tc>
      </w:tr>
      <w:tr>
        <w:tc>
          <w:tcPr>
            <w:tcW w:w="312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M4 风险与原因</w:t>
            </w:r>
          </w:p>
        </w:tc>
        <w:tc>
          <w:tcPr>
            <w:tcW w:w="312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LR/LGBM/XGB、SHAP、10 类原因实验已有</w:t>
            </w:r>
          </w:p>
        </w:tc>
        <w:tc>
          <w:tcPr>
            <w:tcW w:w="312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多折实验、特征可用性与失败分析</w:t>
            </w:r>
          </w:p>
        </w:tc>
      </w:tr>
      <w:tr>
        <w:tc>
          <w:tcPr>
            <w:tcW w:w="312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M5 配送优化</w:t>
            </w:r>
          </w:p>
        </w:tc>
        <w:tc>
          <w:tcPr>
            <w:tcW w:w="312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贪心、Routing Solver、真实路网、补发/调度求解与运行状态持久化已有；已结案案例可从 Vue 客户端提交进实时配送作业</w:t>
            </w:r>
          </w:p>
        </w:tc>
        <w:tc>
          <w:tcPr>
            <w:tcW w:w="312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候选目的地池扩充、替代库存选择与多温区目标</w:t>
            </w:r>
          </w:p>
        </w:tc>
      </w:tr>
      <w:tr>
        <w:tc>
          <w:tcPr>
            <w:tcW w:w="312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M6 图谱问答</w:t>
            </w:r>
          </w:p>
        </w:tc>
        <w:tc>
          <w:tcPr>
            <w:tcW w:w="312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schema、加载、结案写入、查询函数、HTTP 端点、机器可读四态状态、前端回答与 57 场景问答评估集已有；数据库端到端 9/13 验证</w:t>
            </w:r>
          </w:p>
        </w:tc>
        <w:tc>
          <w:tcPr>
            <w:tcW w:w="312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证据评估与相关性评分；意图分类准确率待人工标注</w:t>
            </w:r>
          </w:p>
        </w:tc>
      </w:tr>
      <w:tr>
        <w:tc>
          <w:tcPr>
            <w:tcW w:w="312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M7 集成展示</w:t>
            </w:r>
          </w:p>
        </w:tc>
        <w:tc>
          <w:tcPr>
            <w:tcW w:w="312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Vue 双语、离线/API 双模式、结案历史已有；结案→路线→证据→配送作业闭环 9/12–9/13 接通</w:t>
            </w:r>
          </w:p>
        </w:tc>
        <w:tc>
          <w:tcPr>
            <w:tcW w:w="312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闭环验收、失败态细化与干净环境复现</w:t>
            </w:r>
          </w:p>
        </w:tc>
      </w:tr>
    </w:tbl>
    <w:p>
      <w:pPr>
        <w:keepNext/>
        <w:spacing w:before="260" w:after="100" w:line="300" w:lineRule="auto"/>
      </w:pPr>
      <w:r>
        <w:rPr>
          <w:rFonts w:ascii="Aptos" w:hAnsi="Aptos" w:eastAsia="Microsoft YaHei"/>
          <w:sz w:val="28"/>
          <w:szCs w:val="28"/>
          <w:color w:val="000000"/>
          <w:b/>
          <w:bCs/>
        </w:rPr>
        <w:t>6. 技术方案与 IRS 技术映射</w:t>
      </w:r>
    </w:p>
    <w:p>
      <w:pPr>
        <w:keepNext/>
        <w:spacing w:before="180" w:after="80" w:line="286" w:lineRule="auto"/>
      </w:pPr>
      <w:r>
        <w:rPr>
          <w:rFonts w:ascii="Aptos" w:hAnsi="Aptos" w:eastAsia="Microsoft YaHei"/>
          <w:sz w:val="24"/>
          <w:szCs w:val="24"/>
          <w:color w:val="000000"/>
          <w:b/>
          <w:bCs/>
        </w:rPr>
        <w:t>6.1 技术映射</w:t>
      </w:r>
    </w:p>
    <w:tbl>
      <w:tblPr>
        <w:tblW w:w="9360" w:type="dxa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  <w:tblLook w:firstRow="1" w:lastRow="0" w:firstColumn="0" w:lastColumn="0" w:noHBand="0" w:noVBand="1"/>
      </w:tblPr>
      <w:tblGrid>
        <w:gridCol w:w="4680"/>
        <w:gridCol w:w="4680"/>
      </w:tblGrid>
      <w:tr>
        <w:tc>
          <w:tcPr>
            <w:tcW w:w="4680" w:type="dxa"/>
            <w:shd w:fill="1F4E79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FFFFFF"/>
                <w:b/>
                <w:bCs/>
              </w:rPr>
              <w:t>IRS 技术组</w:t>
            </w:r>
          </w:p>
        </w:tc>
        <w:tc>
          <w:tcPr>
            <w:tcW w:w="4680" w:type="dxa"/>
            <w:shd w:fill="1F4E79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FFFFFF"/>
                <w:b/>
                <w:bCs/>
              </w:rPr>
              <w:t>实现与评估对象</w:t>
            </w:r>
          </w:p>
        </w:tc>
      </w:tr>
      <w:tr>
        <w:tc>
          <w:tcPr>
            <w:tcW w:w="468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决策自动化</w:t>
            </w:r>
          </w:p>
        </w:tc>
        <w:tc>
          <w:tcPr>
            <w:tcW w:w="468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确定性优先规则、四类处置与独立补发动作</w:t>
            </w:r>
          </w:p>
        </w:tc>
      </w:tr>
      <w:tr>
        <w:tc>
          <w:tcPr>
            <w:tcW w:w="468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资源优化</w:t>
            </w:r>
          </w:p>
        </w:tc>
        <w:tc>
          <w:tcPr>
            <w:tcW w:w="468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贪心与 OR-Tools Routing Solver 的容量约束 VRPTW</w:t>
            </w:r>
          </w:p>
        </w:tc>
      </w:tr>
      <w:tr>
        <w:tc>
          <w:tcPr>
            <w:tcW w:w="468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知识发现与数据挖掘</w:t>
            </w:r>
          </w:p>
        </w:tc>
        <w:tc>
          <w:tcPr>
            <w:tcW w:w="468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运输级失效分类、设施级候选原因分类、SHAP</w:t>
            </w:r>
          </w:p>
        </w:tc>
      </w:tr>
      <w:tr>
        <w:tc>
          <w:tcPr>
            <w:tcW w:w="468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认知系统</w:t>
            </w:r>
          </w:p>
        </w:tc>
        <w:tc>
          <w:tcPr>
            <w:tcW w:w="468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Neo4j、模板 Cypher 查询和证据追溯</w:t>
            </w:r>
          </w:p>
        </w:tc>
      </w:tr>
    </w:tbl>
    <w:p>
      <w:pPr>
        <w:spacing w:before="0" w:after="95" w:line="276" w:lineRule="auto"/>
      </w:pPr>
      <w:r>
        <w:rPr>
          <w:rFonts w:ascii="Aptos" w:hAnsi="Aptos" w:eastAsia="Microsoft YaHei"/>
          <w:sz w:val="21"/>
          <w:szCs w:val="21"/>
          <w:color w:val="000000"/>
        </w:rPr>
        <w:t>M1 和 M7 为工程支撑。ML 分数不进入决策 API，规则引擎是在线处置建议的唯一语义来源。</w:t>
      </w:r>
    </w:p>
    <w:p>
      <w:pPr>
        <w:keepNext/>
        <w:spacing w:before="180" w:after="80" w:line="286" w:lineRule="auto"/>
      </w:pPr>
      <w:r>
        <w:rPr>
          <w:rFonts w:ascii="Aptos" w:hAnsi="Aptos" w:eastAsia="Microsoft YaHei"/>
          <w:sz w:val="24"/>
          <w:szCs w:val="24"/>
          <w:color w:val="000000"/>
          <w:b/>
          <w:bCs/>
        </w:rPr>
        <w:t>6.2 规则处置</w:t>
      </w:r>
    </w:p>
    <w:p>
      <w:pPr>
        <w:spacing w:before="0" w:after="95" w:line="276" w:lineRule="auto"/>
      </w:pPr>
      <w:r>
        <w:rPr>
          <w:rFonts w:ascii="Aptos" w:hAnsi="Aptos" w:eastAsia="Microsoft YaHei"/>
          <w:sz w:val="21"/>
          <w:szCs w:val="21"/>
          <w:color w:val="000000"/>
        </w:rPr>
        <w:t>输入为产品类别、偏移温度、持续分钟数、MKT、包装状态和运输阶段。阶段目前随记录保存，不改变规则分支；历史异常尚未作为判定特征。4 个类别原型为 vaccine_2_8、frozen_m20、insulin_2_8、mrna_ultracold，均不代表已验证的品牌产品配置。</w:t>
      </w:r>
    </w:p>
    <w:p>
      <w:pPr>
        <w:spacing w:before="0" w:after="95" w:line="276" w:lineRule="auto"/>
      </w:pPr>
      <w:r>
        <w:rPr>
          <w:rFonts w:ascii="Aptos" w:hAnsi="Aptos" w:eastAsia="Microsoft YaHei"/>
          <w:sz w:val="21"/>
          <w:szCs w:val="21"/>
          <w:color w:val="000000"/>
        </w:rPr>
        <w:t>规则按优先级匹配，首条命中即结束：冻结风险、包装破损并超温、严重时长/MKT 越限、一般时长/MKT 越限、可复检产品近限值、其余情形。输出为 release / quarantine / retest / scrap。当前在 quarantine 或 scrap 时将 reshipment_required 设为 true，这是需单独验证的物流默认策略。</w:t>
      </w:r>
    </w:p>
    <w:p>
      <w:pPr>
        <w:spacing w:before="0" w:after="95" w:line="276" w:lineRule="auto"/>
      </w:pPr>
      <w:r>
        <w:rPr>
          <w:rFonts w:ascii="Aptos" w:hAnsi="Aptos" w:eastAsia="Microsoft YaHei"/>
          <w:sz w:val="21"/>
          <w:szCs w:val="21"/>
          <w:color w:val="000000"/>
        </w:rPr>
        <w:t>行为源为 rules_config.json 和 Python 引擎，前端离线版实现相同语义。沙箱覆盖值仅作用于当前请求，并随结案保存。非冻敏产品低温越界、单阈值近似多级稳定性窗口，以及第 4 条隔离/报废政策仍有已知限制。不会为了提高 gold 一致率直接修改规则或标签。</w:t>
      </w:r>
    </w:p>
    <w:p>
      <w:pPr>
        <w:spacing w:before="120" w:after="90" w:line="276" w:lineRule="auto"/>
        <w:jc w:val="center"/>
      </w:pPr>
      <w:r>
        <w:drawing>
          <wp:inline distT="0" distB="0" distL="0" distR="0">
            <wp:extent cx="5669280" cy="3838575"/>
            <wp:effectExtent l="0" t="0" r="0" b="0"/>
            <wp:docPr id="2" name="图 2 规则与输出语义" descr="图 2 规则与输出语义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" name="图 2 规则与输出语义"/>
                    <pic:cNvPicPr>
                      <a:picLocks noChangeAspect="1" noChangeArrowheads="1"/>
                    </pic:cNvPicPr>
                  </pic:nvPicPr>
                  <pic:blipFill>
                    <a:blip r:embed="rIdImg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95" w:line="276" w:lineRule="auto"/>
      </w:pPr>
      <w:r>
        <w:rPr>
          <w:rFonts w:ascii="Aptos" w:hAnsi="Aptos" w:eastAsia="Microsoft YaHei"/>
          <w:sz w:val="21"/>
          <w:szCs w:val="21"/>
          <w:color w:val="000000"/>
          <w:b/>
          <w:bCs/>
        </w:rPr>
        <w:t>图 2：</w:t>
      </w:r>
      <w:r>
        <w:rPr>
          <w:rFonts w:ascii="Aptos" w:hAnsi="Aptos" w:eastAsia="Microsoft YaHei"/>
          <w:sz w:val="21"/>
          <w:szCs w:val="21"/>
          <w:color w:val="000000"/>
        </w:rPr>
        <w:t>四类处置与独立补发标志。阈值含原型假设，建议须经质量复核。</w:t>
      </w:r>
    </w:p>
    <w:p>
      <w:pPr>
        <w:keepNext/>
        <w:spacing w:before="180" w:after="80" w:line="286" w:lineRule="auto"/>
      </w:pPr>
      <w:r>
        <w:rPr>
          <w:rFonts w:ascii="Aptos" w:hAnsi="Aptos" w:eastAsia="Microsoft YaHei"/>
          <w:sz w:val="24"/>
          <w:szCs w:val="24"/>
          <w:color w:val="000000"/>
          <w:b/>
          <w:bCs/>
        </w:rPr>
        <w:t>6.3 风险分类与候选原因分析</w:t>
      </w:r>
    </w:p>
    <w:p>
      <w:pPr>
        <w:spacing w:before="0" w:after="95" w:line="276" w:lineRule="auto"/>
      </w:pPr>
      <w:r>
        <w:rPr>
          <w:rFonts w:ascii="Aptos" w:hAnsi="Aptos" w:eastAsia="Microsoft YaHei"/>
          <w:sz w:val="21"/>
          <w:szCs w:val="21"/>
          <w:color w:val="000000"/>
        </w:rPr>
        <w:t>风险任务以 8,000 条运输级摘要中的 silent_failure 为目标，比较 LR、LightGBM、XGBoost，并对可解释特征与加入匿名特征的版本作对照。当前采用 70/15/15 分层随机划分，验证集选择 F1 阈值，填补与缩放仅在训练集拟合。特征包括运输时长、温度摘要、开门次数和湿度统计，不能直接表述为使用当前 API 的 MKT 或阶段字段。</w:t>
      </w:r>
    </w:p>
    <w:p>
      <w:pPr>
        <w:spacing w:before="0" w:after="95" w:line="276" w:lineRule="auto"/>
      </w:pPr>
      <w:r>
        <w:rPr>
          <w:rFonts w:ascii="Aptos" w:hAnsi="Aptos" w:eastAsia="Microsoft YaHei"/>
          <w:sz w:val="21"/>
          <w:szCs w:val="21"/>
          <w:color w:val="000000"/>
        </w:rPr>
        <w:t>该数据没有时间戳，也没有相对预测时刻定义的前瞻标签，因此定位为运输级失效分类，不声称提前 30/60 分钟预警。界面风险指数与 cause_code 来自确定性启发式，不是 ML 推理结果。</w:t>
      </w:r>
    </w:p>
    <w:p>
      <w:pPr>
        <w:spacing w:before="0" w:after="95" w:line="276" w:lineRule="auto"/>
      </w:pPr>
      <w:r>
        <w:rPr>
          <w:rFonts w:ascii="Aptos" w:hAnsi="Aptos" w:eastAsia="Microsoft YaHei"/>
          <w:sz w:val="21"/>
          <w:szCs w:val="21"/>
          <w:color w:val="000000"/>
        </w:rPr>
        <w:t>候选原因任务在设施月度仿真数据的 16,192 条热/冻偏移记录上区分 10 类原因，当前采用 80/20 分层随机划分。特征为设备、电源、监测及疫苗上下文；需检查诊断时可用性及同设施记录跨集合的影响。结果列能否作为输入应按任务时点论证。SHAP 表示模型关联，不证明设备故障的因果关系。</w:t>
      </w:r>
    </w:p>
    <w:p>
      <w:pPr>
        <w:keepNext/>
        <w:spacing w:before="180" w:after="80" w:line="286" w:lineRule="auto"/>
      </w:pPr>
      <w:r>
        <w:rPr>
          <w:rFonts w:ascii="Aptos" w:hAnsi="Aptos" w:eastAsia="Microsoft YaHei"/>
          <w:sz w:val="24"/>
          <w:szCs w:val="24"/>
          <w:color w:val="000000"/>
          <w:b/>
          <w:bCs/>
        </w:rPr>
        <w:t>6.4 配送优化</w:t>
      </w:r>
    </w:p>
    <w:p>
      <w:pPr>
        <w:spacing w:before="0" w:after="95" w:line="276" w:lineRule="auto"/>
      </w:pPr>
      <w:r>
        <w:rPr>
          <w:rFonts w:ascii="Aptos" w:hAnsi="Aptos" w:eastAsia="Microsoft YaHei"/>
          <w:sz w:val="21"/>
          <w:szCs w:val="21"/>
          <w:color w:val="000000"/>
        </w:rPr>
        <w:t>模型为单仓、同容量车辆、客户服务时间窗、服务时长及返仓时限约束的 VRPTW，目标是最小化行驶距离。实现使用 RoutingModel、PATH_CHEAPEST_ARC 初解和 GUIDED_LOCAL_SEARCH，不是 CP-SAT；限时解没有全局最优保证。贪心可行解是比较基线，不是目标函数下界。OR-Tools 文档 (https://developers.google.com/optimization/routing/routing_options)</w:t>
      </w:r>
    </w:p>
    <w:p>
      <w:pPr>
        <w:spacing w:before="0" w:after="95" w:line="276" w:lineRule="auto"/>
      </w:pPr>
      <w:r>
        <w:rPr>
          <w:rFonts w:ascii="Aptos" w:hAnsi="Aptos" w:eastAsia="Microsoft YaHei"/>
          <w:sz w:val="21"/>
          <w:szCs w:val="21"/>
          <w:color w:val="000000"/>
        </w:rPr>
        <w:t>6 个 Solomon 实例用于标准比较；新加坡算例包含 1 仓、10 医院与真实 OSM 有向矩阵，距离为 km、时间为 min。时间是自由流估计，不含实时拥堵。需求、车队及服务窗口均为模拟假设，不表示设施间存在真实业务关系。</w:t>
      </w:r>
    </w:p>
    <w:p>
      <w:pPr>
        <w:spacing w:before="0" w:after="95" w:line="276" w:lineRule="auto"/>
      </w:pPr>
      <w:r>
        <w:rPr>
          <w:rFonts w:ascii="Aptos" w:hAnsi="Aptos" w:eastAsia="Microsoft YaHei"/>
          <w:sz w:val="21"/>
          <w:szCs w:val="21"/>
          <w:color w:val="000000"/>
        </w:rPr>
        <w:t>在线模式下 Vue 按已结案案例实时求解并展示路线，离线或未结案时回退预计算演示路线；温度变化本身不触发重求解。单仓补发单到求解器的映射已于 2026-09-12 落地，并可按「一组目的地 + 数量 + 时间窗」的订单形式通过 HTTP 调用。替代库存选择、多温区、碳排放和报废损失目标列为扩展。遗传算法仅在主链验收后考虑，不作为必交算法。</w:t>
      </w:r>
    </w:p>
    <w:p>
      <w:pPr>
        <w:spacing w:before="120" w:after="90" w:line="276" w:lineRule="auto"/>
        <w:jc w:val="center"/>
      </w:pPr>
      <w:r>
        <w:drawing>
          <wp:inline distT="0" distB="0" distL="0" distR="0">
            <wp:extent cx="5669280" cy="3366135"/>
            <wp:effectExtent l="0" t="0" r="0" b="0"/>
            <wp:docPr id="3" name="图 3 新加坡配送算例" descr="图 3 新加坡配送算例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3" name="图 3 新加坡配送算例"/>
                    <pic:cNvPicPr>
                      <a:picLocks noChangeAspect="1" noChangeArrowheads="1"/>
                    </pic:cNvPicPr>
                  </pic:nvPicPr>
                  <pic:blipFill>
                    <a:blip r:embed="rIdImg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3366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95" w:line="276" w:lineRule="auto"/>
      </w:pPr>
      <w:r>
        <w:rPr>
          <w:rFonts w:ascii="Aptos" w:hAnsi="Aptos" w:eastAsia="Microsoft YaHei"/>
          <w:sz w:val="21"/>
          <w:szCs w:val="21"/>
          <w:color w:val="000000"/>
          <w:b/>
          <w:bCs/>
        </w:rPr>
        <w:t>图 3：</w:t>
      </w:r>
      <w:r>
        <w:rPr>
          <w:rFonts w:ascii="Aptos" w:hAnsi="Aptos" w:eastAsia="Microsoft YaHei"/>
          <w:sz w:val="21"/>
          <w:szCs w:val="21"/>
          <w:color w:val="000000"/>
        </w:rPr>
        <w:t>真实路网、模拟业务及已记录的限时结果，非实时车辆跟踪。</w:t>
      </w:r>
    </w:p>
    <w:p>
      <w:pPr>
        <w:keepNext/>
        <w:spacing w:before="180" w:after="80" w:line="286" w:lineRule="auto"/>
      </w:pPr>
      <w:r>
        <w:rPr>
          <w:rFonts w:ascii="Aptos" w:hAnsi="Aptos" w:eastAsia="Microsoft YaHei"/>
          <w:sz w:val="24"/>
          <w:szCs w:val="24"/>
          <w:color w:val="000000"/>
          <w:b/>
          <w:bCs/>
        </w:rPr>
        <w:t>6.5 知识图谱与问答</w:t>
      </w:r>
    </w:p>
    <w:p>
      <w:pPr>
        <w:spacing w:before="0" w:after="95" w:line="276" w:lineRule="auto"/>
      </w:pPr>
      <w:r>
        <w:rPr>
          <w:rFonts w:ascii="Aptos" w:hAnsi="Aptos" w:eastAsia="Microsoft YaHei"/>
          <w:sz w:val="21"/>
          <w:szCs w:val="21"/>
          <w:color w:val="000000"/>
        </w:rPr>
        <w:t>Neo4j 图谱包含 Product、Regulation、SOP、ExcursionEvent、Disposition、Cause、Facility、Shipment、ReshipmentOrder 等实体。法规、公开程序性指引、产品配置、新加坡设施与数据集记录保留来源语义。Kaggle 的约 8,000 条运输级记录真实性未确认、疑似合成，不称为真实药企运输记录；匿名区域不能直接映射到新加坡医院。</w:t>
      </w:r>
    </w:p>
    <w:p>
      <w:pPr>
        <w:spacing w:before="0" w:after="95" w:line="276" w:lineRule="auto"/>
      </w:pPr>
      <w:r>
        <w:rPr>
          <w:rFonts w:ascii="Aptos" w:hAnsi="Aptos" w:eastAsia="Microsoft YaHei"/>
          <w:sz w:val="21"/>
          <w:szCs w:val="21"/>
          <w:color w:val="000000"/>
        </w:rPr>
        <w:t>case_close 保存记录并尝试写入图谱，decide 预览不归档。Cause 目前来自 API 启发式原因代码，不是 ML 推断或调查证实的根因。补发节点记录的是订单；该订单是否已求解、是否已执行，由调度运行状态（dispatch run state）追踪，不由图谱节点表达，且本流程任何一步都不代表发生了实际运输动作。日志与图谱均采用尽力保存，尚不具备审计级持久性保证。</w:t>
      </w:r>
    </w:p>
    <w:p>
      <w:pPr>
        <w:spacing w:before="0" w:after="95" w:line="276" w:lineRule="auto"/>
      </w:pPr>
      <w:r>
        <w:rPr>
          <w:rFonts w:ascii="Aptos" w:hAnsi="Aptos" w:eastAsia="Microsoft YaHei"/>
          <w:sz w:val="21"/>
          <w:szCs w:val="21"/>
          <w:color w:val="000000"/>
        </w:rPr>
        <w:t>Python 已有按 run_id 查询处置理由、审计链、产品要求及统计的函数；/api/qa 已实现为受限意图识别 + 参数化 Cypher，返回本次案例的证据，并区分无案例、证据不足、不支持的问题和数据库故障——这是结构化的问句类型路由，不是自然语言分类。Vue 客户端在线模式调用该端点，离线时回退到关键词模板。2026-09-13 已完成：响应带机器可读的 status（ok / 无案例 / 证据不足 / 不支持的问题；数据库故障仍以 503 表达），前端按状态渲染本地化提示；补发单与补发目的地已进入审计链的证据与答案；「该原因最常见场景」由本案例主因码聚合全部结案的 stage/product 分布；并修正 CITES 原先挂在共享 Disposition 节点上、导致同处置不同规则的案例互相串证据的缺陷（现为案例级 (ExcursionEvent)-[:CITES]-&gt;(Regulation)）。问答评估集与评测脚本见 data/qa/ 与 scripts/evaluate_qa.py：57 条场景上 466/466 派生检查通过（期望值取自静态映射与 rules_config.json，非循环验证），意图分类准确率待人工标注。数据库链路已于 2026-09-13 在 docker compose 启动的 Neo4j 上完成端到端验证（结案 → 写图谱 → 按案例查证据，证据集合与触发规则的法规/SOP 映射逐条一致）。</w:t>
      </w:r>
      <w:r>
        <w:rPr>
          <w:rFonts w:ascii="Aptos" w:hAnsi="Aptos" w:eastAsia="Microsoft YaHei"/>
          <w:sz w:val="21"/>
          <w:szCs w:val="21"/>
          <w:color w:val="000000"/>
          <w:b/>
          <w:bCs/>
        </w:rPr>
        <w:t>仍未完成</w:t>
      </w:r>
      <w:r>
        <w:rPr>
          <w:rFonts w:ascii="Aptos" w:hAnsi="Aptos" w:eastAsia="Microsoft YaHei"/>
          <w:sz w:val="21"/>
          <w:szCs w:val="21"/>
          <w:color w:val="000000"/>
        </w:rPr>
        <w:t>：结案表单尚未传异常地点（补发目的地已传）；重复结案尚无去重。评估要求证据与具体规则匹配，不能以“有法规链接”代替验证。LLM 不属于 MVP 必需组件。</w:t>
      </w:r>
    </w:p>
    <w:p>
      <w:pPr>
        <w:spacing w:before="120" w:after="90" w:line="276" w:lineRule="auto"/>
        <w:jc w:val="center"/>
      </w:pPr>
      <w:r>
        <w:drawing>
          <wp:inline distT="0" distB="0" distL="0" distR="0">
            <wp:extent cx="5669280" cy="3779520"/>
            <wp:effectExtent l="0" t="0" r="0" b="0"/>
            <wp:docPr id="4" name="图 4 图谱概念与写入边界" descr="图 4 图谱概念与写入边界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4" name="图 4 图谱概念与写入边界"/>
                    <pic:cNvPicPr>
                      <a:picLocks noChangeAspect="1" noChangeArrowheads="1"/>
                    </pic:cNvPicPr>
                  </pic:nvPicPr>
                  <pic:blipFill>
                    <a:blip r:embed="rIdImg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3779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95" w:line="276" w:lineRule="auto"/>
      </w:pPr>
      <w:r>
        <w:rPr>
          <w:rFonts w:ascii="Aptos" w:hAnsi="Aptos" w:eastAsia="Microsoft YaHei"/>
          <w:sz w:val="21"/>
          <w:szCs w:val="21"/>
          <w:color w:val="000000"/>
          <w:b/>
          <w:bCs/>
        </w:rPr>
        <w:t>图 4：</w:t>
      </w:r>
      <w:r>
        <w:rPr>
          <w:rFonts w:ascii="Aptos" w:hAnsi="Aptos" w:eastAsia="Microsoft YaHei"/>
          <w:sz w:val="21"/>
          <w:szCs w:val="21"/>
          <w:color w:val="000000"/>
        </w:rPr>
        <w:t>案例链视图；设施、运输与路线的关联由输入契约给定（补发目的地字段已由结案表单传入；异常地点字段已定义但尚未传入）。</w:t>
      </w:r>
    </w:p>
    <w:p>
      <w:pPr>
        <w:spacing w:before="120" w:after="90" w:line="276" w:lineRule="auto"/>
        <w:jc w:val="center"/>
      </w:pPr>
      <w:r>
        <w:drawing>
          <wp:inline distT="0" distB="0" distL="0" distR="0">
            <wp:extent cx="5669280" cy="3543300"/>
            <wp:effectExtent l="0" t="0" r="0" b="0"/>
            <wp:docPr id="5" name="图 4b Neo4j Browser 实拍：一个结案案例的图谱链路" descr="图 4b Neo4j Browser 实拍：一个结案案例的图谱链路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5" name="图 4b Neo4j Browser 实拍：一个结案案例的图谱链路"/>
                    <pic:cNvPicPr>
                      <a:picLocks noChangeAspect="1" noChangeArrowheads="1"/>
                    </pic:cNvPicPr>
                  </pic:nvPicPr>
                  <pic:blipFill>
                    <a:blip r:embed="rIdImg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95" w:line="276" w:lineRule="auto"/>
      </w:pPr>
      <w:r>
        <w:rPr>
          <w:rFonts w:ascii="Aptos" w:hAnsi="Aptos" w:eastAsia="Microsoft YaHei"/>
          <w:sz w:val="21"/>
          <w:szCs w:val="21"/>
          <w:color w:val="000000"/>
          <w:b/>
          <w:bCs/>
        </w:rPr>
        <w:t>图 4b：</w:t>
      </w:r>
      <w:r>
        <w:rPr>
          <w:rFonts w:ascii="Aptos" w:hAnsi="Aptos" w:eastAsia="Microsoft YaHei"/>
          <w:sz w:val="21"/>
          <w:szCs w:val="21"/>
          <w:color w:val="000000"/>
        </w:rPr>
        <w:t>2026-09-13 从 Neo4j Browser 实拍的一个结案案例链路（9 节点 / 8 类关系）：超限事件 → 主因与处置 + 该规则引用的法规与 SOP → 发生设施与补发目的地；顶部为实际执行的查询语句（可复现），右侧列举各节点/关系类型及计数。</w:t>
      </w:r>
    </w:p>
    <w:p>
      <w:pPr>
        <w:spacing w:before="120" w:after="90" w:line="276" w:lineRule="auto"/>
        <w:jc w:val="center"/>
      </w:pPr>
      <w:r>
        <w:drawing>
          <wp:inline distT="0" distB="0" distL="0" distR="0">
            <wp:extent cx="4862089" cy="7772400"/>
            <wp:effectExtent l="0" t="0" r="0" b="0"/>
            <wp:docPr id="6" name="演示 决策沙盒" descr="演示 决策沙盒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6" name="演示 决策沙盒"/>
                    <pic:cNvPicPr>
                      <a:picLocks noChangeAspect="1" noChangeArrowheads="1"/>
                    </pic:cNvPicPr>
                  </pic:nvPicPr>
                  <pic:blipFill>
                    <a:blip r:embed="rIdImg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62089" cy="777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95" w:line="276" w:lineRule="auto"/>
      </w:pPr>
      <w:r>
        <w:rPr>
          <w:rFonts w:ascii="Aptos" w:hAnsi="Aptos" w:eastAsia="Microsoft YaHei"/>
          <w:sz w:val="21"/>
          <w:szCs w:val="21"/>
          <w:color w:val="000000"/>
          <w:b/>
          <w:bCs/>
        </w:rPr>
        <w:t>演示（2026-09-12）：</w:t>
      </w:r>
      <w:r>
        <w:rPr>
          <w:rFonts w:ascii="Aptos" w:hAnsi="Aptos" w:eastAsia="Microsoft YaHei"/>
          <w:sz w:val="21"/>
          <w:szCs w:val="21"/>
          <w:color w:val="000000"/>
        </w:rPr>
        <w:t>规则建议、路径与启发式风险指数，非人工最终审批结果。</w:t>
      </w:r>
    </w:p>
    <w:p>
      <w:pPr>
        <w:spacing w:before="120" w:after="90" w:line="276" w:lineRule="auto"/>
        <w:jc w:val="center"/>
      </w:pPr>
      <w:r>
        <w:drawing>
          <wp:inline distT="0" distB="0" distL="0" distR="0">
            <wp:extent cx="5669280" cy="5522699"/>
            <wp:effectExtent l="0" t="0" r="0" b="0"/>
            <wp:docPr id="7" name="演示 路线和问答" descr="演示 路线和问答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7" name="演示 路线和问答"/>
                    <pic:cNvPicPr>
                      <a:picLocks noChangeAspect="1" noChangeArrowheads="1"/>
                    </pic:cNvPicPr>
                  </pic:nvPicPr>
                  <pic:blipFill>
                    <a:blip r:embed="rIdImg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55226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95" w:line="276" w:lineRule="auto"/>
      </w:pPr>
      <w:r>
        <w:rPr>
          <w:rFonts w:ascii="Aptos" w:hAnsi="Aptos" w:eastAsia="Microsoft YaHei"/>
          <w:sz w:val="21"/>
          <w:szCs w:val="21"/>
          <w:color w:val="000000"/>
          <w:b/>
          <w:bCs/>
        </w:rPr>
        <w:t>演示（2026-09-12 截图，2026-09-13 复核）：</w:t>
      </w:r>
      <w:r>
        <w:rPr>
          <w:rFonts w:ascii="Aptos" w:hAnsi="Aptos" w:eastAsia="Microsoft YaHei"/>
          <w:sz w:val="21"/>
          <w:szCs w:val="21"/>
          <w:color w:val="000000"/>
        </w:rPr>
        <w:t>在线模式下路线与问答均由后端实时计算（/api/route 按案例求解补发路线、/api/qa 查询真实图谱并返回证据）。该截图早于 Vue 客户端获得「把已结案案例提交进实时配送作业」的能力，故画面只有路线与问答；闭环是否接通以 2026-09-13 的端到端复核为准，不以本图为准。</w:t>
      </w:r>
    </w:p>
    <w:p>
      <w:pPr>
        <w:keepNext/>
        <w:spacing w:before="180" w:after="80" w:line="286" w:lineRule="auto"/>
      </w:pPr>
      <w:r>
        <w:rPr>
          <w:rFonts w:ascii="Aptos" w:hAnsi="Aptos" w:eastAsia="Microsoft YaHei"/>
          <w:sz w:val="24"/>
          <w:szCs w:val="24"/>
          <w:color w:val="000000"/>
          <w:b/>
          <w:bCs/>
        </w:rPr>
        <w:t>6.6 系统架构与接口</w:t>
      </w:r>
    </w:p>
    <w:p>
      <w:pPr>
        <w:spacing w:before="0" w:after="95" w:line="276" w:lineRule="auto"/>
      </w:pPr>
      <w:r>
        <w:rPr>
          <w:rFonts w:ascii="Aptos" w:hAnsi="Aptos" w:eastAsia="Microsoft YaHei"/>
          <w:sz w:val="21"/>
          <w:szCs w:val="21"/>
          <w:color w:val="000000"/>
        </w:rPr>
        <w:t>前端采用 Vue 3、Vite、Pinia、Leaflet；旧版静态 demo 已于 2026-09-12 退役，Vue 是唯一前端。在线模式经 FastAPI/Uvicorn 调用 Python 引擎，离线模式使用 JS 移植；结案历史为 JSONL，知识库为 Neo4j。训练和路线导出脚本独立运行。</w:t>
      </w:r>
    </w:p>
    <w:p>
      <w:pPr>
        <w:spacing w:before="120" w:after="90" w:line="276" w:lineRule="auto"/>
        <w:jc w:val="center"/>
      </w:pPr>
      <w:r>
        <w:drawing>
          <wp:inline distT="0" distB="0" distL="0" distR="0">
            <wp:extent cx="5669280" cy="4015740"/>
            <wp:effectExtent l="0" t="0" r="0" b="0"/>
            <wp:docPr id="8" name="图 5 当前架构" descr="图 5 当前架构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8" name="图 5 当前架构"/>
                    <pic:cNvPicPr>
                      <a:picLocks noChangeAspect="1" noChangeArrowheads="1"/>
                    </pic:cNvPicPr>
                  </pic:nvPicPr>
                  <pic:blipFill>
                    <a:blip r:embed="rIdImg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4015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95" w:line="276" w:lineRule="auto"/>
      </w:pPr>
      <w:r>
        <w:rPr>
          <w:rFonts w:ascii="Aptos" w:hAnsi="Aptos" w:eastAsia="Microsoft YaHei"/>
          <w:sz w:val="21"/>
          <w:szCs w:val="21"/>
          <w:color w:val="000000"/>
          <w:b/>
          <w:bCs/>
        </w:rPr>
        <w:t>图 5：</w:t>
      </w:r>
      <w:r>
        <w:rPr>
          <w:rFonts w:ascii="Aptos" w:hAnsi="Aptos" w:eastAsia="Microsoft YaHei"/>
          <w:sz w:val="21"/>
          <w:szCs w:val="21"/>
          <w:color w:val="000000"/>
        </w:rPr>
        <w:t>在线规则主链、离线实验、路线求解与图谱问答四层的接线状态；截至 2026-09-13，案例触发路线求解、前端真实图谱问答，以及把已结案案例提交进实时配送作业，均已在 Vue 客户端接通。</w:t>
      </w:r>
    </w:p>
    <w:p>
      <w:pPr>
        <w:spacing w:before="0" w:after="95" w:line="276" w:lineRule="auto"/>
      </w:pPr>
      <w:r>
        <w:rPr>
          <w:rFonts w:ascii="Aptos" w:hAnsi="Aptos" w:eastAsia="Microsoft YaHei"/>
          <w:sz w:val="21"/>
          <w:szCs w:val="21"/>
          <w:color w:val="000000"/>
        </w:rPr>
        <w:t>跨成员契约需固定 run_id、order_id、产品、目的地、数量、时间窗、温区兼容性和 ReplanResult 的关联方式，并处理无可行路线、重复结案与存储失败。API 现已承载订单目的地、数量、时间窗、温区与路线结果，并为无可行路线、无可行时间窗定义了响应，为重复命令提供带版本校验的存储；契约上尚缺的是结案表单传异常地点 ID，以及重复结案去重。</w:t>
      </w:r>
    </w:p>
    <w:p>
      <w:pPr>
        <w:spacing w:before="120" w:after="90" w:line="276" w:lineRule="auto"/>
        <w:jc w:val="center"/>
      </w:pPr>
      <w:r>
        <w:drawing>
          <wp:inline distT="0" distB="0" distL="0" distR="0">
            <wp:extent cx="5669280" cy="3779520"/>
            <wp:effectExtent l="0" t="0" r="0" b="0"/>
            <wp:docPr id="9" name="图 6 最小闭环目标" descr="图 6 最小闭环目标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9" name="图 6 最小闭环目标"/>
                    <pic:cNvPicPr>
                      <a:picLocks noChangeAspect="1" noChangeArrowheads="1"/>
                    </pic:cNvPicPr>
                  </pic:nvPicPr>
                  <pic:blipFill>
                    <a:blip r:embed="rIdImg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3779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95" w:line="276" w:lineRule="auto"/>
      </w:pPr>
      <w:r>
        <w:rPr>
          <w:rFonts w:ascii="Aptos" w:hAnsi="Aptos" w:eastAsia="Microsoft YaHei"/>
          <w:sz w:val="21"/>
          <w:szCs w:val="21"/>
          <w:color w:val="000000"/>
          <w:b/>
          <w:bCs/>
        </w:rPr>
        <w:t>图 6：</w:t>
      </w:r>
      <w:r>
        <w:rPr>
          <w:rFonts w:ascii="Aptos" w:hAnsi="Aptos" w:eastAsia="Microsoft YaHei"/>
          <w:sz w:val="21"/>
          <w:szCs w:val="21"/>
          <w:color w:val="000000"/>
        </w:rPr>
        <w:t>W3 集成验收目标。核心模块与主要连接（结案 → 订单 → 路线 → 证据查询）已于 9/12–9/13 接通；尚缺人工复核/审批字段。</w:t>
      </w:r>
    </w:p>
    <w:p>
      <w:pPr>
        <w:keepNext/>
        <w:spacing w:before="260" w:after="100" w:line="300" w:lineRule="auto"/>
      </w:pPr>
      <w:r>
        <w:rPr>
          <w:rFonts w:ascii="Aptos" w:hAnsi="Aptos" w:eastAsia="Microsoft YaHei"/>
          <w:sz w:val="28"/>
          <w:szCs w:val="28"/>
          <w:color w:val="000000"/>
          <w:b/>
          <w:bCs/>
        </w:rPr>
        <w:t>7. 数据收集与预处理</w:t>
      </w:r>
    </w:p>
    <w:p>
      <w:pPr>
        <w:keepNext/>
        <w:spacing w:before="180" w:after="80" w:line="286" w:lineRule="auto"/>
      </w:pPr>
      <w:r>
        <w:rPr>
          <w:rFonts w:ascii="Aptos" w:hAnsi="Aptos" w:eastAsia="Microsoft YaHei"/>
          <w:sz w:val="24"/>
          <w:szCs w:val="24"/>
          <w:color w:val="000000"/>
          <w:b/>
          <w:bCs/>
        </w:rPr>
        <w:t>7.1 主要数据集</w:t>
      </w:r>
    </w:p>
    <w:tbl>
      <w:tblPr>
        <w:tblW w:w="9360" w:type="dxa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  <w:tblLook w:firstRow="1" w:lastRow="0" w:firstColumn="0" w:lastColumn="0" w:noHBand="0" w:noVBand="1"/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  <w:shd w:fill="1F4E79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FFFFFF"/>
                <w:b/>
                <w:bCs/>
              </w:rPr>
              <w:t>数据集</w:t>
            </w:r>
          </w:p>
        </w:tc>
        <w:tc>
          <w:tcPr>
            <w:tcW w:w="2340" w:type="dxa"/>
            <w:shd w:fill="1F4E79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FFFFFF"/>
                <w:b/>
                <w:bCs/>
              </w:rPr>
              <w:t>规模与粒度</w:t>
            </w:r>
          </w:p>
        </w:tc>
        <w:tc>
          <w:tcPr>
            <w:tcW w:w="2340" w:type="dxa"/>
            <w:shd w:fill="1F4E79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FFFFFF"/>
                <w:b/>
                <w:bCs/>
              </w:rPr>
              <w:t>用途</w:t>
            </w:r>
          </w:p>
        </w:tc>
        <w:tc>
          <w:tcPr>
            <w:tcW w:w="2340" w:type="dxa"/>
            <w:shd w:fill="1F4E79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FFFFFF"/>
                <w:b/>
                <w:bCs/>
              </w:rPr>
              <w:t>数据性质与许可</w:t>
            </w:r>
          </w:p>
        </w:tc>
      </w:tr>
      <w:tr>
        <w:tc>
          <w:tcPr>
            <w:tcW w:w="234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Cold Chain Silent Failure (https://www.kaggle.com/datasets/skarin/cold-chain-shipment-silent-failure-dataset)</w:t>
            </w:r>
          </w:p>
        </w:tc>
        <w:tc>
          <w:tcPr>
            <w:tcW w:w="234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8,000 × 24；运输摘要</w:t>
            </w:r>
          </w:p>
        </w:tc>
        <w:tc>
          <w:tcPr>
            <w:tcW w:w="234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失效二分类</w:t>
            </w:r>
          </w:p>
        </w:tc>
        <w:tc>
          <w:tcPr>
            <w:tcW w:w="234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疑似合成；CC0</w:t>
            </w:r>
          </w:p>
        </w:tc>
      </w:tr>
      <w:tr>
        <w:tc>
          <w:tcPr>
            <w:tcW w:w="234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Vaccine Distribution (https://www.kaggle.com/datasets/manankhanna0/vaccine-distribution-with-temperature-logging)</w:t>
            </w:r>
          </w:p>
        </w:tc>
        <w:tc>
          <w:tcPr>
            <w:tcW w:w="234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26,674 × 13；30 批次日志</w:t>
            </w:r>
          </w:p>
        </w:tc>
        <w:tc>
          <w:tcPr>
            <w:tcW w:w="234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演示素材、序列任务</w:t>
            </w:r>
          </w:p>
        </w:tc>
        <w:tc>
          <w:tcPr>
            <w:tcW w:w="234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疑似合成，含实际地名；CC0</w:t>
            </w:r>
          </w:p>
        </w:tc>
      </w:tr>
      <w:tr>
        <w:tc>
          <w:tcPr>
            <w:tcW w:w="234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Electric Sheep Africa vaccine-cold-chain (https://huggingface.co/datasets/electricsheepafrica/vaccine-cold-chain)</w:t>
            </w:r>
          </w:p>
        </w:tc>
        <w:tc>
          <w:tcPr>
            <w:tcW w:w="234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3 × 10,000 × 46；设施月度</w:t>
            </w:r>
          </w:p>
        </w:tc>
        <w:tc>
          <w:tcPr>
            <w:tcW w:w="234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候选原因分类</w:t>
            </w:r>
          </w:p>
        </w:tc>
        <w:tc>
          <w:tcPr>
            <w:tcW w:w="234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仿真；CC BY 4.0</w:t>
            </w:r>
          </w:p>
        </w:tc>
      </w:tr>
      <w:tr>
        <w:tc>
          <w:tcPr>
            <w:tcW w:w="234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Africa Synth Immunization (https://huggingface.co/datasets/electricsheepafrica/africa-synth-immunization-vaccine-quality-cold-chain-all)</w:t>
            </w:r>
          </w:p>
        </w:tc>
        <w:tc>
          <w:tcPr>
            <w:tcW w:w="234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约 30,000 行</w:t>
            </w:r>
          </w:p>
        </w:tc>
        <w:tc>
          <w:tcPr>
            <w:tcW w:w="234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可选质量风险补充</w:t>
            </w:r>
          </w:p>
        </w:tc>
        <w:tc>
          <w:tcPr>
            <w:tcW w:w="234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合成；CC BY 4.0</w:t>
            </w:r>
          </w:p>
        </w:tc>
      </w:tr>
      <w:tr>
        <w:tc>
          <w:tcPr>
            <w:tcW w:w="234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Solomon / CVRPLIB (http://vrp.atd-lab.inf.puc-rio.br/index.php/en/)</w:t>
            </w:r>
          </w:p>
        </w:tc>
        <w:tc>
          <w:tcPr>
            <w:tcW w:w="234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已纳入 6 实例</w:t>
            </w:r>
          </w:p>
        </w:tc>
        <w:tc>
          <w:tcPr>
            <w:tcW w:w="234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VRPTW 标准对照</w:t>
            </w:r>
          </w:p>
        </w:tc>
        <w:tc>
          <w:tcPr>
            <w:tcW w:w="234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抽象基准，保留来源</w:t>
            </w:r>
          </w:p>
        </w:tc>
      </w:tr>
      <w:tr>
        <w:tc>
          <w:tcPr>
            <w:tcW w:w="234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OpenStreetMap (https://www.openstreetmap.org/copyright) 新加坡</w:t>
            </w:r>
          </w:p>
        </w:tc>
        <w:tc>
          <w:tcPr>
            <w:tcW w:w="234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11 设施、11×11 矩阵、110 条有向路径</w:t>
            </w:r>
          </w:p>
        </w:tc>
        <w:tc>
          <w:tcPr>
            <w:tcW w:w="234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本地配送算例</w:t>
            </w:r>
          </w:p>
        </w:tc>
        <w:tc>
          <w:tcPr>
            <w:tcW w:w="234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真实道路、模拟业务；ODbL</w:t>
            </w:r>
          </w:p>
        </w:tc>
      </w:tr>
      <w:tr>
        <w:tc>
          <w:tcPr>
            <w:tcW w:w="234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自建场景与人工 gold</w:t>
            </w:r>
          </w:p>
        </w:tc>
        <w:tc>
          <w:tcPr>
            <w:tcW w:w="234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57 场景、4 类处置</w:t>
            </w:r>
          </w:p>
        </w:tc>
        <w:tc>
          <w:tcPr>
            <w:tcW w:w="234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规则评估</w:t>
            </w:r>
          </w:p>
        </w:tc>
        <w:tc>
          <w:tcPr>
            <w:tcW w:w="234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合成场景、独立标注与仲裁</w:t>
            </w:r>
          </w:p>
        </w:tc>
      </w:tr>
    </w:tbl>
    <w:p>
      <w:pPr>
        <w:spacing w:before="0" w:after="95" w:line="276" w:lineRule="auto"/>
      </w:pPr>
      <w:r>
        <w:rPr>
          <w:rFonts w:ascii="Aptos" w:hAnsi="Aptos" w:eastAsia="Microsoft YaHei"/>
          <w:sz w:val="21"/>
          <w:szCs w:val="21"/>
          <w:color w:val="000000"/>
        </w:rPr>
        <w:t>许可核实记录见 数据字典 (../data/ml/DATA_DICTIONARY.md)。保留 Electric Sheep Africa 署名与许可信息，以及 OSM 的相应署名。其他小样本或网络安全数据不作为核心基准。</w:t>
      </w:r>
    </w:p>
    <w:p>
      <w:pPr>
        <w:keepNext/>
        <w:spacing w:before="180" w:after="80" w:line="286" w:lineRule="auto"/>
      </w:pPr>
      <w:r>
        <w:rPr>
          <w:rFonts w:ascii="Aptos" w:hAnsi="Aptos" w:eastAsia="Microsoft YaHei"/>
          <w:sz w:val="24"/>
          <w:szCs w:val="24"/>
          <w:color w:val="000000"/>
          <w:b/>
          <w:bCs/>
        </w:rPr>
        <w:t>7.2 领域知识来源</w:t>
      </w:r>
    </w:p>
    <w:p>
      <w:pPr>
        <w:spacing w:before="0" w:after="95" w:line="276" w:lineRule="auto"/>
      </w:pPr>
      <w:r>
        <w:rPr>
          <w:rFonts w:ascii="Aptos" w:hAnsi="Aptos" w:eastAsia="Microsoft YaHei"/>
          <w:sz w:val="21"/>
          <w:szCs w:val="21"/>
          <w:color w:val="000000"/>
        </w:rPr>
        <w:t>规则依据来自 WHO、EU GDP、ICH 及适用产品资料；程序性节点引用 CDC/WHO 公开指南，不冒充企业内部 SOP。记录来源、适用范围和假设，逐步分开产品级证据与通用原则。尚未完成的规则复核不表述为“全部已验证”。</w:t>
      </w:r>
    </w:p>
    <w:p>
      <w:pPr>
        <w:keepNext/>
        <w:spacing w:before="180" w:after="80" w:line="286" w:lineRule="auto"/>
      </w:pPr>
      <w:r>
        <w:rPr>
          <w:rFonts w:ascii="Aptos" w:hAnsi="Aptos" w:eastAsia="Microsoft YaHei"/>
          <w:sz w:val="24"/>
          <w:szCs w:val="24"/>
          <w:color w:val="000000"/>
          <w:b/>
          <w:bCs/>
        </w:rPr>
        <w:t>7.3 预处理与任务边界</w:t>
      </w:r>
    </w:p>
    <w:p>
      <w:pPr>
        <w:spacing w:before="0" w:after="65" w:line="276" w:lineRule="auto"/>
        <w:ind w:left="420" w:hanging="220"/>
      </w:pPr>
      <w:r>
        <w:rPr>
          <w:rFonts w:ascii="Aptos" w:hAnsi="Aptos" w:eastAsia="Microsoft YaHei"/>
          <w:sz w:val="21"/>
          <w:szCs w:val="21"/>
          <w:color w:val="000000"/>
        </w:rPr>
        <w:t>• 各数据按原粒度单独建模，不虚构共有批次 ID 拼接运输、设施月度与新加坡订单。</w:t>
      </w:r>
    </w:p>
    <w:p>
      <w:pPr>
        <w:spacing w:before="0" w:after="65" w:line="276" w:lineRule="auto"/>
        <w:ind w:left="420" w:hanging="220"/>
      </w:pPr>
      <w:r>
        <w:rPr>
          <w:rFonts w:ascii="Aptos" w:hAnsi="Aptos" w:eastAsia="Microsoft YaHei"/>
          <w:sz w:val="21"/>
          <w:szCs w:val="21"/>
          <w:color w:val="000000"/>
        </w:rPr>
        <w:t>• 无时间戳的失效任务使用分层随机划分；多折实验在每折训练部分完成预处理与阈值选择，测试部分仅用于最终评分。</w:t>
      </w:r>
    </w:p>
    <w:p>
      <w:pPr>
        <w:spacing w:before="0" w:after="65" w:line="276" w:lineRule="auto"/>
        <w:ind w:left="420" w:hanging="220"/>
      </w:pPr>
      <w:r>
        <w:rPr>
          <w:rFonts w:ascii="Aptos" w:hAnsi="Aptos" w:eastAsia="Microsoft YaHei"/>
          <w:sz w:val="21"/>
          <w:szCs w:val="21"/>
          <w:color w:val="000000"/>
        </w:rPr>
        <w:t>• 设施月度任务检查重复实体及分组/时间划分可行性，报告相对随机划分的变化。</w:t>
      </w:r>
    </w:p>
    <w:p>
      <w:pPr>
        <w:spacing w:before="0" w:after="65" w:line="276" w:lineRule="auto"/>
        <w:ind w:left="420" w:hanging="220"/>
      </w:pPr>
      <w:r>
        <w:rPr>
          <w:rFonts w:ascii="Aptos" w:hAnsi="Aptos" w:eastAsia="Microsoft YaHei"/>
          <w:sz w:val="21"/>
          <w:szCs w:val="21"/>
          <w:color w:val="000000"/>
        </w:rPr>
        <w:t>• 序列任务先定义产品温区、窗口、缺失处理、MKT 参数和预测时点，防止同批次重叠窗口跨集合泄漏。</w:t>
      </w:r>
    </w:p>
    <w:p>
      <w:pPr>
        <w:spacing w:before="0" w:after="65" w:line="276" w:lineRule="auto"/>
        <w:ind w:left="420" w:hanging="220"/>
      </w:pPr>
      <w:r>
        <w:rPr>
          <w:rFonts w:ascii="Aptos" w:hAnsi="Aptos" w:eastAsia="Microsoft YaHei"/>
          <w:sz w:val="21"/>
          <w:szCs w:val="21"/>
          <w:color w:val="000000"/>
        </w:rPr>
        <w:t>• 当前演示导出按温度推断类别、以单点读数近似 MKT、将包装固定为完整；这些映射不用于验证真实产品稳定性或 MKT 算法。</w:t>
      </w:r>
    </w:p>
    <w:p>
      <w:pPr>
        <w:spacing w:before="0" w:after="65" w:line="276" w:lineRule="auto"/>
        <w:ind w:left="420" w:hanging="220"/>
      </w:pPr>
      <w:r>
        <w:rPr>
          <w:rFonts w:ascii="Aptos" w:hAnsi="Aptos" w:eastAsia="Microsoft YaHei"/>
          <w:sz w:val="21"/>
          <w:szCs w:val="21"/>
          <w:color w:val="000000"/>
        </w:rPr>
        <w:t>• 阈值派生标签只检查事件提取逻辑，不用于证明采用相同阈值的处置规则具有独立领域正确性。</w:t>
      </w:r>
    </w:p>
    <w:p>
      <w:pPr>
        <w:spacing w:before="0" w:after="65" w:line="276" w:lineRule="auto"/>
        <w:ind w:left="420" w:hanging="220"/>
      </w:pPr>
      <w:r>
        <w:rPr>
          <w:rFonts w:ascii="Aptos" w:hAnsi="Aptos" w:eastAsia="Microsoft YaHei"/>
          <w:sz w:val="21"/>
          <w:szCs w:val="21"/>
          <w:color w:val="000000"/>
        </w:rPr>
        <w:t>• OSMnx 从缓存道路生成有向距离/时间及同路径几何，保留来源指纹；订单和车辆假设单独记录。</w:t>
      </w:r>
    </w:p>
    <w:p>
      <w:pPr>
        <w:keepNext/>
        <w:spacing w:before="260" w:after="100" w:line="300" w:lineRule="auto"/>
      </w:pPr>
      <w:r>
        <w:rPr>
          <w:rFonts w:ascii="Aptos" w:hAnsi="Aptos" w:eastAsia="Microsoft YaHei"/>
          <w:sz w:val="28"/>
          <w:szCs w:val="28"/>
          <w:color w:val="000000"/>
          <w:b/>
          <w:bCs/>
        </w:rPr>
        <w:t>8. 实验与评估</w:t>
      </w:r>
    </w:p>
    <w:p>
      <w:pPr>
        <w:keepNext/>
        <w:spacing w:before="180" w:after="80" w:line="286" w:lineRule="auto"/>
      </w:pPr>
      <w:r>
        <w:rPr>
          <w:rFonts w:ascii="Aptos" w:hAnsi="Aptos" w:eastAsia="Microsoft YaHei"/>
          <w:sz w:val="24"/>
          <w:szCs w:val="24"/>
          <w:color w:val="000000"/>
          <w:b/>
          <w:bCs/>
        </w:rPr>
        <w:t>8.1 指标与验收</w:t>
      </w:r>
    </w:p>
    <w:tbl>
      <w:tblPr>
        <w:tblW w:w="9360" w:type="dxa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  <w:tblLook w:firstRow="1" w:lastRow="0" w:firstColumn="0" w:lastColumn="0" w:noHBand="0" w:noVBand="1"/>
      </w:tblPr>
      <w:tblGrid>
        <w:gridCol w:w="3120"/>
        <w:gridCol w:w="3120"/>
        <w:gridCol w:w="3120"/>
      </w:tblGrid>
      <w:tr>
        <w:tc>
          <w:tcPr>
            <w:tcW w:w="3120" w:type="dxa"/>
            <w:shd w:fill="1F4E79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FFFFFF"/>
                <w:b/>
                <w:bCs/>
              </w:rPr>
              <w:t>模块</w:t>
            </w:r>
          </w:p>
        </w:tc>
        <w:tc>
          <w:tcPr>
            <w:tcW w:w="3120" w:type="dxa"/>
            <w:shd w:fill="1F4E79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FFFFFF"/>
                <w:b/>
                <w:bCs/>
              </w:rPr>
              <w:t>指标与检查</w:t>
            </w:r>
          </w:p>
        </w:tc>
        <w:tc>
          <w:tcPr>
            <w:tcW w:w="3120" w:type="dxa"/>
            <w:shd w:fill="1F4E79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FFFFFF"/>
                <w:b/>
                <w:bCs/>
              </w:rPr>
              <w:t>结论边界</w:t>
            </w:r>
          </w:p>
        </w:tc>
      </w:tr>
      <w:tr>
        <w:tc>
          <w:tcPr>
            <w:tcW w:w="312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风险分类</w:t>
            </w:r>
          </w:p>
        </w:tc>
        <w:tc>
          <w:tcPr>
            <w:tcW w:w="312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F1、ROC-AUC、PR-AUC、精确率/召回率、多折均值与标准差</w:t>
            </w:r>
          </w:p>
        </w:tc>
        <w:tc>
          <w:tcPr>
            <w:tcW w:w="312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不报告未定义的提前预警指标</w:t>
            </w:r>
          </w:p>
        </w:tc>
      </w:tr>
      <w:tr>
        <w:tc>
          <w:tcPr>
            <w:tcW w:w="312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处置规则</w:t>
            </w:r>
          </w:p>
        </w:tc>
        <w:tc>
          <w:tcPr>
            <w:tcW w:w="312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gold 一致率、macro-F1、各类召回、混淆矩阵、κ、规则覆盖</w:t>
            </w:r>
          </w:p>
        </w:tc>
        <w:tc>
          <w:tcPr>
            <w:tcW w:w="312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分开实现符合规则、人工一致性与领域有效性</w:t>
            </w:r>
          </w:p>
        </w:tc>
      </w:tr>
      <w:tr>
        <w:tc>
          <w:tcPr>
            <w:tcW w:w="312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补发动作</w:t>
            </w:r>
          </w:p>
        </w:tc>
        <w:tc>
          <w:tcPr>
            <w:tcW w:w="312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补发政策一致性、订单生成与重复触发</w:t>
            </w:r>
          </w:p>
        </w:tc>
        <w:tc>
          <w:tcPr>
            <w:tcW w:w="312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与四类处置分别验收</w:t>
            </w:r>
          </w:p>
        </w:tc>
      </w:tr>
      <w:tr>
        <w:tc>
          <w:tcPr>
            <w:tcW w:w="312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候选原因</w:t>
            </w:r>
          </w:p>
        </w:tc>
        <w:tc>
          <w:tcPr>
            <w:tcW w:w="312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Top-1、Top-3、macro-F1、支持数、失败案例</w:t>
            </w:r>
          </w:p>
        </w:tc>
        <w:tc>
          <w:tcPr>
            <w:tcW w:w="312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仿真分类不等于因果诊断</w:t>
            </w:r>
          </w:p>
        </w:tc>
      </w:tr>
      <w:tr>
        <w:tc>
          <w:tcPr>
            <w:tcW w:w="312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路线优化</w:t>
            </w:r>
          </w:p>
        </w:tc>
        <w:tc>
          <w:tcPr>
            <w:tcW w:w="312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距离、车辆数、合计时长、准时率、未服务、违规、运行时间</w:t>
            </w:r>
          </w:p>
        </w:tc>
        <w:tc>
          <w:tcPr>
            <w:tcW w:w="312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同实例、同约束、固定预算比较</w:t>
            </w:r>
          </w:p>
        </w:tc>
      </w:tr>
      <w:tr>
        <w:tc>
          <w:tcPr>
            <w:tcW w:w="312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图谱问答</w:t>
            </w:r>
          </w:p>
        </w:tc>
        <w:tc>
          <w:tcPr>
            <w:tcW w:w="312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正确率、案例相关证据覆盖、无证据拒答率、响应时间</w:t>
            </w:r>
          </w:p>
        </w:tc>
        <w:tc>
          <w:tcPr>
            <w:tcW w:w="312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引用数量不等于证据相关性</w:t>
            </w:r>
          </w:p>
        </w:tc>
      </w:tr>
      <w:tr>
        <w:tc>
          <w:tcPr>
            <w:tcW w:w="312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系统</w:t>
            </w:r>
          </w:p>
        </w:tc>
        <w:tc>
          <w:tcPr>
            <w:tcW w:w="312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端到端时延、标识关联、快照完整性、异常恢复</w:t>
            </w:r>
          </w:p>
        </w:tc>
        <w:tc>
          <w:tcPr>
            <w:tcW w:w="312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分开规则预览、求解和结案耗时</w:t>
            </w:r>
          </w:p>
        </w:tc>
      </w:tr>
    </w:tbl>
    <w:p>
      <w:pPr>
        <w:spacing w:before="0" w:after="95" w:line="276" w:lineRule="auto"/>
      </w:pPr>
      <w:r>
        <w:rPr>
          <w:rFonts w:ascii="Aptos" w:hAnsi="Aptos" w:eastAsia="Microsoft YaHei"/>
          <w:sz w:val="21"/>
          <w:szCs w:val="21"/>
          <w:color w:val="000000"/>
        </w:rPr>
        <w:t>路线评估同时报告未服务订单，避免已服务客户的准时率掩盖失败。对比 Solomon 已发表解前需对齐车辆数目标、距离精度和约束；单个新加坡算例不证明运营节约。系统验收覆盖需补发、不需补发、无可行路线、无证据、服务故障及重复结案。</w:t>
      </w:r>
    </w:p>
    <w:p>
      <w:pPr>
        <w:keepNext/>
        <w:spacing w:before="180" w:after="80" w:line="286" w:lineRule="auto"/>
      </w:pPr>
      <w:r>
        <w:rPr>
          <w:rFonts w:ascii="Aptos" w:hAnsi="Aptos" w:eastAsia="Microsoft YaHei"/>
          <w:sz w:val="24"/>
          <w:szCs w:val="24"/>
          <w:color w:val="000000"/>
          <w:b/>
          <w:bCs/>
        </w:rPr>
        <w:t>8.2 基线与阶段结果</w:t>
      </w:r>
    </w:p>
    <w:p>
      <w:pPr>
        <w:spacing w:before="0" w:after="95" w:line="276" w:lineRule="auto"/>
      </w:pPr>
      <w:r>
        <w:rPr>
          <w:rFonts w:ascii="Aptos" w:hAnsi="Aptos" w:eastAsia="Microsoft YaHei"/>
          <w:sz w:val="21"/>
          <w:szCs w:val="21"/>
          <w:color w:val="000000"/>
        </w:rPr>
        <w:t>下表风险结果于 2026-09-13 用 scripts/train_risk_full.py 在 requirements.txt 记录的仓库环境中复跑得到（seed 42）。数据疑似合成，结果只描述该数据集，不证明真实世界有效性；当前为单次随机划分，尚非多折结果。</w:t>
      </w:r>
    </w:p>
    <w:tbl>
      <w:tblPr>
        <w:tblW w:w="9360" w:type="dxa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  <w:tblLook w:firstRow="1" w:lastRow="0" w:firstColumn="0" w:lastColumn="0" w:noHBand="0" w:noVBand="1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w="1872" w:type="dxa"/>
            <w:shd w:fill="1F4E79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FFFFFF"/>
                <w:b/>
                <w:bCs/>
              </w:rPr>
              <w:t>风险模型（可解释特征）</w:t>
            </w:r>
          </w:p>
        </w:tc>
        <w:tc>
          <w:tcPr>
            <w:tcW w:w="1872" w:type="dxa"/>
            <w:shd w:fill="1F4E79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FFFFFF"/>
                <w:b/>
                <w:bCs/>
              </w:rPr>
              <w:t>验证集阈值</w:t>
            </w:r>
          </w:p>
        </w:tc>
        <w:tc>
          <w:tcPr>
            <w:tcW w:w="1872" w:type="dxa"/>
            <w:shd w:fill="1F4E79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FFFFFF"/>
                <w:b/>
                <w:bCs/>
              </w:rPr>
              <w:t>F1</w:t>
            </w:r>
          </w:p>
        </w:tc>
        <w:tc>
          <w:tcPr>
            <w:tcW w:w="1872" w:type="dxa"/>
            <w:shd w:fill="1F4E79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FFFFFF"/>
                <w:b/>
                <w:bCs/>
              </w:rPr>
              <w:t>ROC-AUC</w:t>
            </w:r>
          </w:p>
        </w:tc>
        <w:tc>
          <w:tcPr>
            <w:tcW w:w="1872" w:type="dxa"/>
            <w:shd w:fill="1F4E79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FFFFFF"/>
                <w:b/>
                <w:bCs/>
              </w:rPr>
              <w:t>PR-AUC</w:t>
            </w:r>
          </w:p>
        </w:tc>
      </w:tr>
      <w:tr>
        <w:tc>
          <w:tcPr>
            <w:tcW w:w="1872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逻辑回归</w:t>
            </w:r>
          </w:p>
        </w:tc>
        <w:tc>
          <w:tcPr>
            <w:tcW w:w="1872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0.55</w:t>
            </w:r>
          </w:p>
        </w:tc>
        <w:tc>
          <w:tcPr>
            <w:tcW w:w="1872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0.626</w:t>
            </w:r>
          </w:p>
        </w:tc>
        <w:tc>
          <w:tcPr>
            <w:tcW w:w="1872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0.891</w:t>
            </w:r>
          </w:p>
        </w:tc>
        <w:tc>
          <w:tcPr>
            <w:tcW w:w="1872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0.651</w:t>
            </w:r>
          </w:p>
        </w:tc>
      </w:tr>
      <w:tr>
        <w:tc>
          <w:tcPr>
            <w:tcW w:w="1872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LightGBM</w:t>
            </w:r>
          </w:p>
        </w:tc>
        <w:tc>
          <w:tcPr>
            <w:tcW w:w="1872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0.50</w:t>
            </w:r>
          </w:p>
        </w:tc>
        <w:tc>
          <w:tcPr>
            <w:tcW w:w="1872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0.691</w:t>
            </w:r>
          </w:p>
        </w:tc>
        <w:tc>
          <w:tcPr>
            <w:tcW w:w="1872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0.925</w:t>
            </w:r>
          </w:p>
        </w:tc>
        <w:tc>
          <w:tcPr>
            <w:tcW w:w="1872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0.754</w:t>
            </w:r>
          </w:p>
        </w:tc>
      </w:tr>
      <w:tr>
        <w:tc>
          <w:tcPr>
            <w:tcW w:w="1872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XGBoost</w:t>
            </w:r>
          </w:p>
        </w:tc>
        <w:tc>
          <w:tcPr>
            <w:tcW w:w="1872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0.45</w:t>
            </w:r>
          </w:p>
        </w:tc>
        <w:tc>
          <w:tcPr>
            <w:tcW w:w="1872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0.685</w:t>
            </w:r>
          </w:p>
        </w:tc>
        <w:tc>
          <w:tcPr>
            <w:tcW w:w="1872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0.922</w:t>
            </w:r>
          </w:p>
        </w:tc>
        <w:tc>
          <w:tcPr>
            <w:tcW w:w="1872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0.731</w:t>
            </w:r>
          </w:p>
        </w:tc>
      </w:tr>
    </w:tbl>
    <w:p>
      <w:pPr>
        <w:spacing w:before="0" w:after="95" w:line="276" w:lineRule="auto"/>
      </w:pPr>
      <w:r>
        <w:rPr>
          <w:rFonts w:ascii="Aptos" w:hAnsi="Aptos" w:eastAsia="Microsoft YaHei"/>
          <w:sz w:val="21"/>
          <w:szCs w:val="21"/>
          <w:color w:val="000000"/>
        </w:rPr>
        <w:t>原因实验中，LightGBM 的 Top-1=0.143、Top-3=0.421、macro-F1=0.125；多数类基线 Top-1=0.161、Top-3=0.284、macro-F1=0.028。Top-1 未超过多数类，结果支持继续研究候选排序和特征定义，不支持宣称可靠根因识别。正式版本需定义无歧义的 Top-3 基线及并列概率处理。</w:t>
      </w:r>
    </w:p>
    <w:p>
      <w:pPr>
        <w:spacing w:before="0" w:after="95" w:line="276" w:lineRule="auto"/>
      </w:pPr>
      <w:r>
        <w:rPr>
          <w:rFonts w:ascii="Aptos" w:hAnsi="Aptos" w:eastAsia="Microsoft YaHei"/>
          <w:sz w:val="21"/>
          <w:szCs w:val="21"/>
          <w:color w:val="000000"/>
        </w:rPr>
        <w:t>新加坡算例的 2026-09-10 已记录结果：</w:t>
      </w:r>
    </w:p>
    <w:tbl>
      <w:tblPr>
        <w:tblW w:w="9360" w:type="dxa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  <w:tblLook w:firstRow="1" w:lastRow="0" w:firstColumn="0" w:lastColumn="0" w:noHBand="0" w:noVBand="1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w="1560" w:type="dxa"/>
            <w:shd w:fill="1F4E79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FFFFFF"/>
                <w:b/>
                <w:bCs/>
              </w:rPr>
              <w:t>算法</w:t>
            </w:r>
          </w:p>
        </w:tc>
        <w:tc>
          <w:tcPr>
            <w:tcW w:w="1560" w:type="dxa"/>
            <w:shd w:fill="1F4E79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FFFFFF"/>
                <w:b/>
                <w:bCs/>
              </w:rPr>
              <w:t>使用车辆</w:t>
            </w:r>
          </w:p>
        </w:tc>
        <w:tc>
          <w:tcPr>
            <w:tcW w:w="1560" w:type="dxa"/>
            <w:shd w:fill="1F4E79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FFFFFF"/>
                <w:b/>
                <w:bCs/>
              </w:rPr>
              <w:t>服务客户</w:t>
            </w:r>
          </w:p>
        </w:tc>
        <w:tc>
          <w:tcPr>
            <w:tcW w:w="1560" w:type="dxa"/>
            <w:shd w:fill="1F4E79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FFFFFF"/>
                <w:b/>
                <w:bCs/>
              </w:rPr>
              <w:t>总距离 km</w:t>
            </w:r>
          </w:p>
        </w:tc>
        <w:tc>
          <w:tcPr>
            <w:tcW w:w="1560" w:type="dxa"/>
            <w:shd w:fill="1F4E79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FFFFFF"/>
                <w:b/>
                <w:bCs/>
              </w:rPr>
              <w:t>合计路线时长 min</w:t>
            </w:r>
          </w:p>
        </w:tc>
        <w:tc>
          <w:tcPr>
            <w:tcW w:w="1560" w:type="dxa"/>
            <w:shd w:fill="1F4E79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FFFFFF"/>
                <w:b/>
                <w:bCs/>
              </w:rPr>
              <w:t>违规 / 未服务</w:t>
            </w:r>
          </w:p>
        </w:tc>
      </w:tr>
      <w:tr>
        <w:tc>
          <w:tcPr>
            <w:tcW w:w="156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贪心</w:t>
            </w:r>
          </w:p>
        </w:tc>
        <w:tc>
          <w:tcPr>
            <w:tcW w:w="156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2</w:t>
            </w:r>
          </w:p>
        </w:tc>
        <w:tc>
          <w:tcPr>
            <w:tcW w:w="156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10</w:t>
            </w:r>
          </w:p>
        </w:tc>
        <w:tc>
          <w:tcPr>
            <w:tcW w:w="156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142.6305</w:t>
            </w:r>
          </w:p>
        </w:tc>
        <w:tc>
          <w:tcPr>
            <w:tcW w:w="156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364.6972</w:t>
            </w:r>
          </w:p>
        </w:tc>
        <w:tc>
          <w:tcPr>
            <w:tcW w:w="156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0 / 0</w:t>
            </w:r>
          </w:p>
        </w:tc>
      </w:tr>
      <w:tr>
        <w:tc>
          <w:tcPr>
            <w:tcW w:w="156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OR-Tools Routing（10 秒）</w:t>
            </w:r>
          </w:p>
        </w:tc>
        <w:tc>
          <w:tcPr>
            <w:tcW w:w="156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2</w:t>
            </w:r>
          </w:p>
        </w:tc>
        <w:tc>
          <w:tcPr>
            <w:tcW w:w="156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10</w:t>
            </w:r>
          </w:p>
        </w:tc>
        <w:tc>
          <w:tcPr>
            <w:tcW w:w="156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133.8073</w:t>
            </w:r>
          </w:p>
        </w:tc>
        <w:tc>
          <w:tcPr>
            <w:tcW w:w="156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357.5731</w:t>
            </w:r>
          </w:p>
        </w:tc>
        <w:tc>
          <w:tcPr>
            <w:tcW w:w="156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0 / 0</w:t>
            </w:r>
          </w:p>
        </w:tc>
      </w:tr>
    </w:tbl>
    <w:p>
      <w:pPr>
        <w:spacing w:before="0" w:after="95" w:line="276" w:lineRule="auto"/>
      </w:pPr>
      <w:r>
        <w:rPr>
          <w:rFonts w:ascii="Aptos" w:hAnsi="Aptos" w:eastAsia="Microsoft YaHei"/>
          <w:sz w:val="21"/>
          <w:szCs w:val="21"/>
          <w:color w:val="000000"/>
        </w:rPr>
        <w:t>距离减少约 6.19%。算例提供 3 辆车、各容量 200 单位；医院各需求 30 单位，窗口 09:00–17:00、服务 15 分钟；仓库 08:00–18:00。合计路线时长是各车工作时长之和；限时结果可能随环境变化。实验进度 (../PROGRESS.md)、新加坡说明 (../docs/singapore_network_assumptions.md)</w:t>
      </w:r>
    </w:p>
    <w:p>
      <w:pPr>
        <w:keepNext/>
        <w:spacing w:before="180" w:after="80" w:line="286" w:lineRule="auto"/>
      </w:pPr>
      <w:r>
        <w:rPr>
          <w:rFonts w:ascii="Aptos" w:hAnsi="Aptos" w:eastAsia="Microsoft YaHei"/>
          <w:sz w:val="24"/>
          <w:szCs w:val="24"/>
          <w:color w:val="000000"/>
          <w:b/>
          <w:bCs/>
        </w:rPr>
        <w:t>8.3 处置决策 Ground-truth</w:t>
      </w:r>
    </w:p>
    <w:p>
      <w:pPr>
        <w:spacing w:before="0" w:after="95" w:line="276" w:lineRule="auto"/>
      </w:pPr>
      <w:r>
        <w:rPr>
          <w:rFonts w:ascii="Aptos" w:hAnsi="Aptos" w:eastAsia="Microsoft YaHei"/>
          <w:sz w:val="21"/>
          <w:szCs w:val="21"/>
          <w:color w:val="000000"/>
        </w:rPr>
        <w:t>57 个合成场景由 B/C 仅依据书面 rubric 独立全量标注、A 仲裁。2026-09-12 人工 gold 已替换引擎自产的占位标签。标注者是团队成员，不称为领域专家。原始个人作答保留于私有标注包，仓库保存仲裁标签、结论及指纹。</w:t>
      </w:r>
    </w:p>
    <w:tbl>
      <w:tblPr>
        <w:tblW w:w="9360" w:type="dxa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  <w:tblLook w:firstRow="1" w:lastRow="0" w:firstColumn="0" w:lastColumn="0" w:noHBand="0" w:noVBand="1"/>
      </w:tblPr>
      <w:tblGrid>
        <w:gridCol w:w="4680"/>
        <w:gridCol w:w="4680"/>
      </w:tblGrid>
      <w:tr>
        <w:tc>
          <w:tcPr>
            <w:tcW w:w="4680" w:type="dxa"/>
            <w:shd w:fill="1F4E79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FFFFFF"/>
                <w:b/>
                <w:bCs/>
              </w:rPr>
              <w:t>指标</w:t>
            </w:r>
          </w:p>
        </w:tc>
        <w:tc>
          <w:tcPr>
            <w:tcW w:w="4680" w:type="dxa"/>
            <w:shd w:fill="1F4E79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FFFFFF"/>
                <w:b/>
                <w:bCs/>
              </w:rPr>
              <w:t>当前结果</w:t>
            </w:r>
          </w:p>
        </w:tc>
      </w:tr>
      <w:tr>
        <w:tc>
          <w:tcPr>
            <w:tcW w:w="468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B/C 原始一致条数</w:t>
            </w:r>
          </w:p>
        </w:tc>
        <w:tc>
          <w:tcPr>
            <w:tcW w:w="468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44/57</w:t>
            </w:r>
          </w:p>
        </w:tc>
      </w:tr>
      <w:tr>
        <w:tc>
          <w:tcPr>
            <w:tcW w:w="468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标注者间 Cohen's κ</w:t>
            </w:r>
          </w:p>
        </w:tc>
        <w:tc>
          <w:tcPr>
            <w:tcW w:w="468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0.6434，未达到原定 0.80</w:t>
            </w:r>
          </w:p>
        </w:tc>
      </w:tr>
      <w:tr>
        <w:tc>
          <w:tcPr>
            <w:tcW w:w="468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当前引擎与 gold 一致</w:t>
            </w:r>
          </w:p>
        </w:tc>
        <w:tc>
          <w:tcPr>
            <w:tcW w:w="468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39/57，68.4%</w:t>
            </w:r>
          </w:p>
        </w:tc>
      </w:tr>
      <w:tr>
        <w:tc>
          <w:tcPr>
            <w:tcW w:w="468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18 条差异</w:t>
            </w:r>
          </w:p>
        </w:tc>
        <w:tc>
          <w:tcPr>
            <w:tcW w:w="468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15 条引擎隔离/gold 报废；2 条引擎放行/gold 隔离；1 条引擎复检/gold 隔离</w:t>
            </w:r>
          </w:p>
        </w:tc>
      </w:tr>
      <w:tr>
        <w:tc>
          <w:tcPr>
            <w:tcW w:w="468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Gold 数量</w:t>
            </w:r>
          </w:p>
        </w:tc>
        <w:tc>
          <w:tcPr>
            <w:tcW w:w="468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放行 13、复检 8、隔离 3、报废 33</w:t>
            </w:r>
          </w:p>
        </w:tc>
      </w:tr>
      <w:tr>
        <w:tc>
          <w:tcPr>
            <w:tcW w:w="468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高后果类别召回</w:t>
            </w:r>
          </w:p>
        </w:tc>
        <w:tc>
          <w:tcPr>
            <w:tcW w:w="468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隔离 0/3；报废 18/33（54.5%）</w:t>
            </w:r>
          </w:p>
        </w:tc>
      </w:tr>
    </w:tbl>
    <w:p>
      <w:pPr>
        <w:spacing w:before="0" w:after="95" w:line="276" w:lineRule="auto"/>
      </w:pPr>
      <w:r>
        <w:rPr>
          <w:rFonts w:ascii="Aptos" w:hAnsi="Aptos" w:eastAsia="Microsoft YaHei"/>
          <w:sz w:val="21"/>
          <w:szCs w:val="21"/>
          <w:color w:val="000000"/>
        </w:rPr>
        <w:t>团队决定如实报告 κ=0.6434，不为提高 κ 修订 rubric 重测，保留 gold 中 3 条隔离。第 4 条隔离/报废仍是领域政策未决项，应按产品证据单独决定。隔离仅 3 条，各类结果需连同支持数报告，不作稳定总体性能推断。</w:t>
      </w:r>
    </w:p>
    <w:p>
      <w:pPr>
        <w:spacing w:before="0" w:after="95" w:line="276" w:lineRule="auto"/>
      </w:pPr>
      <w:r>
        <w:rPr>
          <w:rFonts w:ascii="Aptos" w:hAnsi="Aptos" w:eastAsia="Microsoft YaHei"/>
          <w:sz w:val="21"/>
          <w:szCs w:val="21"/>
          <w:color w:val="000000"/>
        </w:rPr>
        <w:t>评估分三层：单元测试检查实现符合冻结规则；人工 gold 检查书面规则与团队判断的差异；领域有效性需要适用产品资料或外部复核。测试冻结已知 18 条差异，测试通过不代表一致率 100%，也不证明这些差异均应通过改引擎解决。</w:t>
      </w:r>
    </w:p>
    <w:p>
      <w:pPr>
        <w:spacing w:before="0" w:after="95" w:line="276" w:lineRule="auto"/>
      </w:pPr>
      <w:r>
        <w:rPr>
          <w:rFonts w:ascii="Aptos" w:hAnsi="Aptos" w:eastAsia="Microsoft YaHei"/>
          <w:sz w:val="21"/>
          <w:szCs w:val="21"/>
          <w:color w:val="000000"/>
        </w:rPr>
        <w:t>本次修订直接运行真实引擎复核了 39/57 及混淆计数。evaluate_engine.py 的 selftest 用 rubric 充当替身引擎，只校验脚本，不能作为性能证据。正式评估仍需输出完整 macro-F1、各类精确率/召回率、κ 和覆盖表，保留版本信息。标注统计 (../data/processed/agreement_stats.md)、标注发现 (../docs/annotation_findings_v1.md)、引擎检查 (../tests/test_rule_engine.py)</w:t>
      </w:r>
    </w:p>
    <w:p>
      <w:pPr>
        <w:spacing w:before="0" w:after="95" w:line="276" w:lineRule="auto"/>
      </w:pPr>
      <w:r>
        <w:rPr>
          <w:rFonts w:ascii="Aptos" w:hAnsi="Aptos" w:eastAsia="Microsoft YaHei"/>
          <w:sz w:val="21"/>
          <w:szCs w:val="21"/>
          <w:color w:val="000000"/>
        </w:rPr>
        <w:t>外部产品级复核为可选工作，尚未完成。后续如因领域证据修订规则，应版本化并用独立新增案例评估，不把对同批 gold 的调优当作新的独立验证。</w:t>
      </w:r>
    </w:p>
    <w:p>
      <w:pPr>
        <w:keepNext/>
        <w:spacing w:before="260" w:after="100" w:line="300" w:lineRule="auto"/>
      </w:pPr>
      <w:r>
        <w:rPr>
          <w:rFonts w:ascii="Aptos" w:hAnsi="Aptos" w:eastAsia="Microsoft YaHei"/>
          <w:sz w:val="28"/>
          <w:szCs w:val="28"/>
          <w:color w:val="000000"/>
          <w:b/>
          <w:bCs/>
        </w:rPr>
        <w:t>9. MVP 与范围控制</w:t>
      </w:r>
    </w:p>
    <w:p>
      <w:pPr>
        <w:spacing w:before="0" w:after="95" w:line="276" w:lineRule="auto"/>
      </w:pPr>
      <w:r>
        <w:rPr>
          <w:rFonts w:ascii="Aptos" w:hAnsi="Aptos" w:eastAsia="Microsoft YaHei"/>
          <w:sz w:val="21"/>
          <w:szCs w:val="21"/>
          <w:color w:val="000000"/>
          <w:b/>
          <w:bCs/>
        </w:rPr>
        <w:t>必须交付：</w:t>
      </w:r>
      <w:r>
        <w:rPr>
          <w:rFonts w:ascii="Aptos" w:hAnsi="Aptos" w:eastAsia="Microsoft YaHei"/>
          <w:sz w:val="21"/>
          <w:szCs w:val="21"/>
          <w:color w:val="000000"/>
        </w:rPr>
        <w:t>4 个明确标为原型的类别配置；四类处置与独立补发语义；单仓新加坡模拟配送；规则到补发单和路线的连接；真实 KG 查询到前端的接线；案例关联记录；独立规则评估、离线风险与原因实验；中英文界面及复现说明。</w:t>
      </w:r>
    </w:p>
    <w:p>
      <w:pPr>
        <w:spacing w:before="0" w:after="95" w:line="276" w:lineRule="auto"/>
      </w:pPr>
      <w:r>
        <w:rPr>
          <w:rFonts w:ascii="Aptos" w:hAnsi="Aptos" w:eastAsia="Microsoft YaHei"/>
          <w:sz w:val="21"/>
          <w:szCs w:val="21"/>
          <w:color w:val="000000"/>
          <w:b/>
          <w:bCs/>
        </w:rPr>
        <w:t>补充目标：</w:t>
      </w:r>
      <w:r>
        <w:rPr>
          <w:rFonts w:ascii="Aptos" w:hAnsi="Aptos" w:eastAsia="Microsoft YaHei"/>
          <w:sz w:val="21"/>
          <w:szCs w:val="21"/>
          <w:color w:val="000000"/>
        </w:rPr>
        <w:t>序列事件生成与 MKT 验证、更多路由实例、更严格的数据划分。进度受限时优先完成必交闭环，披露演示输入近似，不把未实现的补充目标算作已交付。</w:t>
      </w:r>
    </w:p>
    <w:p>
      <w:pPr>
        <w:spacing w:before="0" w:after="95" w:line="276" w:lineRule="auto"/>
      </w:pPr>
      <w:r>
        <w:rPr>
          <w:rFonts w:ascii="Aptos" w:hAnsi="Aptos" w:eastAsia="Microsoft YaHei"/>
          <w:sz w:val="21"/>
          <w:szCs w:val="21"/>
          <w:color w:val="000000"/>
          <w:b/>
          <w:bCs/>
        </w:rPr>
        <w:t>可选扩展：</w:t>
      </w:r>
      <w:r>
        <w:rPr>
          <w:rFonts w:ascii="Aptos" w:hAnsi="Aptos" w:eastAsia="Microsoft YaHei"/>
          <w:sz w:val="21"/>
          <w:szCs w:val="21"/>
          <w:color w:val="000000"/>
        </w:rPr>
        <w:t>提前预警、多级稳定性窗口、多仓库存选择、多温区优化、遗传算法、实时车辆位置、LLM 润色和反馈学习。扩展以主链验收为前提。</w:t>
      </w:r>
    </w:p>
    <w:p>
      <w:pPr>
        <w:spacing w:before="0" w:after="95" w:line="276" w:lineRule="auto"/>
      </w:pPr>
      <w:r>
        <w:rPr>
          <w:rFonts w:ascii="Aptos" w:hAnsi="Aptos" w:eastAsia="Microsoft YaHei"/>
          <w:sz w:val="21"/>
          <w:szCs w:val="21"/>
          <w:color w:val="000000"/>
          <w:b/>
          <w:bCs/>
        </w:rPr>
        <w:t>明确排除：</w:t>
      </w:r>
      <w:r>
        <w:rPr>
          <w:rFonts w:ascii="Aptos" w:hAnsi="Aptos" w:eastAsia="Microsoft YaHei"/>
          <w:sz w:val="21"/>
          <w:szCs w:val="21"/>
          <w:color w:val="000000"/>
        </w:rPr>
        <w:t>生产 ERP/WMS、真实 IoT 部署、临床验证或正式合规认证、患者数据、自动授权实际药品处置及实际运输执行。</w:t>
      </w:r>
    </w:p>
    <w:p>
      <w:pPr>
        <w:keepNext/>
        <w:spacing w:before="260" w:after="100" w:line="300" w:lineRule="auto"/>
      </w:pPr>
      <w:r>
        <w:rPr>
          <w:rFonts w:ascii="Aptos" w:hAnsi="Aptos" w:eastAsia="Microsoft YaHei"/>
          <w:sz w:val="28"/>
          <w:szCs w:val="28"/>
          <w:color w:val="000000"/>
          <w:b/>
          <w:bCs/>
        </w:rPr>
        <w:t>10. 项目计划与团队分工</w:t>
      </w:r>
    </w:p>
    <w:p>
      <w:pPr>
        <w:keepNext/>
        <w:spacing w:before="180" w:after="80" w:line="286" w:lineRule="auto"/>
      </w:pPr>
      <w:r>
        <w:rPr>
          <w:rFonts w:ascii="Aptos" w:hAnsi="Aptos" w:eastAsia="Microsoft YaHei"/>
          <w:sz w:val="24"/>
          <w:szCs w:val="24"/>
          <w:color w:val="000000"/>
          <w:b/>
          <w:bCs/>
        </w:rPr>
        <w:t>10.1 成员职责</w:t>
      </w:r>
    </w:p>
    <w:tbl>
      <w:tblPr>
        <w:tblW w:w="9360" w:type="dxa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  <w:tblLook w:firstRow="1" w:lastRow="0" w:firstColumn="0" w:lastColumn="0" w:noHBand="0" w:noVBand="1"/>
      </w:tblPr>
      <w:tblGrid>
        <w:gridCol w:w="3120"/>
        <w:gridCol w:w="3120"/>
        <w:gridCol w:w="3120"/>
      </w:tblGrid>
      <w:tr>
        <w:tc>
          <w:tcPr>
            <w:tcW w:w="3120" w:type="dxa"/>
            <w:shd w:fill="1F4E79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FFFFFF"/>
                <w:b/>
                <w:bCs/>
              </w:rPr>
              <w:t>成员</w:t>
            </w:r>
          </w:p>
        </w:tc>
        <w:tc>
          <w:tcPr>
            <w:tcW w:w="3120" w:type="dxa"/>
            <w:shd w:fill="1F4E79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FFFFFF"/>
                <w:b/>
                <w:bCs/>
              </w:rPr>
              <w:t>主责</w:t>
            </w:r>
          </w:p>
        </w:tc>
        <w:tc>
          <w:tcPr>
            <w:tcW w:w="3120" w:type="dxa"/>
            <w:shd w:fill="1F4E79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FFFFFF"/>
                <w:b/>
                <w:bCs/>
              </w:rPr>
              <w:t>协作交付</w:t>
            </w:r>
          </w:p>
        </w:tc>
      </w:tr>
      <w:tr>
        <w:tc>
          <w:tcPr>
            <w:tcW w:w="312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A（Xu Wenzhe）</w:t>
            </w:r>
          </w:p>
        </w:tc>
        <w:tc>
          <w:tcPr>
            <w:tcW w:w="312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规则、领域依据、人工评估、报告</w:t>
            </w:r>
          </w:p>
        </w:tc>
        <w:tc>
          <w:tcPr>
            <w:tcW w:w="312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补发输入契约和提案终审</w:t>
            </w:r>
          </w:p>
        </w:tc>
      </w:tr>
      <w:tr>
        <w:tc>
          <w:tcPr>
            <w:tcW w:w="312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B（Zhu Jianyu）</w:t>
            </w:r>
          </w:p>
        </w:tc>
        <w:tc>
          <w:tcPr>
            <w:tcW w:w="312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数据、风险、候选原因、实验</w:t>
            </w:r>
          </w:p>
        </w:tc>
        <w:tc>
          <w:tcPr>
            <w:tcW w:w="312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数据性质说明和报告指标</w:t>
            </w:r>
          </w:p>
        </w:tc>
      </w:tr>
      <w:tr>
        <w:tc>
          <w:tcPr>
            <w:tcW w:w="312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C（Wang Lepeng）</w:t>
            </w:r>
          </w:p>
        </w:tc>
        <w:tc>
          <w:tcPr>
            <w:tcW w:w="312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VRPTW、路网、路线评估</w:t>
            </w:r>
          </w:p>
        </w:tc>
        <w:tc>
          <w:tcPr>
            <w:tcW w:w="312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补发映射和路线输出契约</w:t>
            </w:r>
          </w:p>
        </w:tc>
      </w:tr>
      <w:tr>
        <w:tc>
          <w:tcPr>
            <w:tcW w:w="312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D（Shen Ziyi）</w:t>
            </w:r>
          </w:p>
        </w:tc>
        <w:tc>
          <w:tcPr>
            <w:tcW w:w="312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KG、问答、API、前端、演示</w:t>
            </w:r>
          </w:p>
        </w:tc>
        <w:tc>
          <w:tcPr>
            <w:tcW w:w="312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案例关联、证据展示和视频</w:t>
            </w:r>
          </w:p>
        </w:tc>
      </w:tr>
    </w:tbl>
    <w:p>
      <w:pPr>
        <w:spacing w:before="0" w:after="95" w:line="276" w:lineRule="auto"/>
      </w:pPr>
      <w:r>
        <w:rPr>
          <w:rFonts w:ascii="Aptos" w:hAnsi="Aptos" w:eastAsia="Microsoft YaHei"/>
          <w:sz w:val="21"/>
          <w:szCs w:val="21"/>
          <w:color w:val="000000"/>
        </w:rPr>
        <w:t>上表为主责划分，不表示严格隔离。实际交付中存在交叉协助：规则阈值与标注口径经 A/B 互审，调度契约与前端接线由 C/D 共同修改，因此仓库提交记录中同一模块可由多人改动。</w:t>
      </w:r>
    </w:p>
    <w:p>
      <w:pPr>
        <w:keepNext/>
        <w:spacing w:before="180" w:after="80" w:line="286" w:lineRule="auto"/>
      </w:pPr>
      <w:r>
        <w:rPr>
          <w:rFonts w:ascii="Aptos" w:hAnsi="Aptos" w:eastAsia="Microsoft YaHei"/>
          <w:sz w:val="24"/>
          <w:szCs w:val="24"/>
          <w:color w:val="000000"/>
          <w:b/>
          <w:bCs/>
        </w:rPr>
        <w:t>10.2 修订后的周计划</w:t>
      </w:r>
    </w:p>
    <w:p>
      <w:pPr>
        <w:spacing w:before="0" w:after="95" w:line="276" w:lineRule="auto"/>
      </w:pPr>
      <w:r>
        <w:rPr>
          <w:rFonts w:ascii="Aptos" w:hAnsi="Aptos" w:eastAsia="Microsoft YaHei"/>
          <w:sz w:val="21"/>
          <w:szCs w:val="21"/>
          <w:color w:val="000000"/>
        </w:rPr>
        <w:t>以 2026-09-12 已完成工作为起点，保留原提交日期。约 40 人日总投入优先用于主链、验证和交付，可选算法不作硬性要求。下表为修订后的提案计划，原每日计划的历史任务不表示这些事项尚未开始。</w:t>
      </w:r>
    </w:p>
    <w:tbl>
      <w:tblPr>
        <w:tblW w:w="9360" w:type="dxa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  <w:tblLook w:firstRow="1" w:lastRow="0" w:firstColumn="0" w:lastColumn="0" w:noHBand="0" w:noVBand="1"/>
      </w:tblPr>
      <w:tblGrid>
        <w:gridCol w:w="3120"/>
        <w:gridCol w:w="3120"/>
        <w:gridCol w:w="3120"/>
      </w:tblGrid>
      <w:tr>
        <w:tc>
          <w:tcPr>
            <w:tcW w:w="3120" w:type="dxa"/>
            <w:shd w:fill="1F4E79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FFFFFF"/>
                <w:b/>
                <w:bCs/>
              </w:rPr>
              <w:t>周次</w:t>
            </w:r>
          </w:p>
        </w:tc>
        <w:tc>
          <w:tcPr>
            <w:tcW w:w="3120" w:type="dxa"/>
            <w:shd w:fill="1F4E79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FFFFFF"/>
                <w:b/>
                <w:bCs/>
              </w:rPr>
              <w:t>重点任务与负责人</w:t>
            </w:r>
          </w:p>
        </w:tc>
        <w:tc>
          <w:tcPr>
            <w:tcW w:w="3120" w:type="dxa"/>
            <w:shd w:fill="1F4E79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FFFFFF"/>
                <w:b/>
                <w:bCs/>
              </w:rPr>
              <w:t>验收交付</w:t>
            </w:r>
          </w:p>
        </w:tc>
      </w:tr>
      <w:tr>
        <w:tc>
          <w:tcPr>
            <w:tcW w:w="312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W0 9/3–13</w:t>
            </w:r>
          </w:p>
        </w:tc>
        <w:tc>
          <w:tcPr>
            <w:tcW w:w="312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全员整合规则、数据、标注、路线和 KG 成果，修订提案，补成员信息，同步材料</w:t>
            </w:r>
          </w:p>
        </w:tc>
        <w:tc>
          <w:tcPr>
            <w:tcW w:w="312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提案终审与提交（截止 9/13）；组名、成员姓名及学号已补</w:t>
            </w:r>
          </w:p>
        </w:tc>
      </w:tr>
      <w:tr>
        <w:tc>
          <w:tcPr>
            <w:tcW w:w="312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W1 9/14–20</w:t>
            </w:r>
          </w:p>
        </w:tc>
        <w:tc>
          <w:tcPr>
            <w:tcW w:w="312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A：规则证据/gold 评估；B：任务 spec/多折风险；C：补发映射；D：QA API/证据检查</w:t>
            </w:r>
          </w:p>
        </w:tc>
        <w:tc>
          <w:tcPr>
            <w:tcW w:w="312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评估表、任务说明、可评审接口与查询</w:t>
            </w:r>
          </w:p>
        </w:tc>
      </w:tr>
      <w:tr>
        <w:tc>
          <w:tcPr>
            <w:tcW w:w="312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W2 9/21–27</w:t>
            </w:r>
          </w:p>
        </w:tc>
        <w:tc>
          <w:tcPr>
            <w:tcW w:w="312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A/C/D：订单、路线、案例契约及接线；B：原因与划分对照；D：前端真实问答</w:t>
            </w:r>
          </w:p>
        </w:tc>
        <w:tc>
          <w:tcPr>
            <w:tcW w:w="312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单仓补发求解、真实 QA、失败状态</w:t>
            </w:r>
          </w:p>
        </w:tc>
      </w:tr>
      <w:tr>
        <w:tc>
          <w:tcPr>
            <w:tcW w:w="312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W3 9/28–10/4</w:t>
            </w:r>
          </w:p>
        </w:tc>
        <w:tc>
          <w:tcPr>
            <w:tcW w:w="312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全员联调；A/D 明确结案与人工复核记录边界</w:t>
            </w:r>
          </w:p>
        </w:tc>
        <w:tc>
          <w:tcPr>
            <w:tcW w:w="312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最小闭环 v1，需补发/不需补发/失败案例</w:t>
            </w:r>
          </w:p>
        </w:tc>
      </w:tr>
      <w:tr>
        <w:tc>
          <w:tcPr>
            <w:tcW w:w="312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W4 10/5–11</w:t>
            </w:r>
          </w:p>
        </w:tc>
        <w:tc>
          <w:tcPr>
            <w:tcW w:w="312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A：报告/审计模板；B：实验/失败分析；C：Solomon 与新加坡对比；D：QA 评估</w:t>
            </w:r>
          </w:p>
        </w:tc>
        <w:tc>
          <w:tcPr>
            <w:tcW w:w="312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正式实验表、相关证据检查、报告初稿</w:t>
            </w:r>
          </w:p>
        </w:tc>
      </w:tr>
      <w:tr>
        <w:tc>
          <w:tcPr>
            <w:tcW w:w="312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W5 10/12–18</w:t>
            </w:r>
          </w:p>
        </w:tc>
        <w:tc>
          <w:tcPr>
            <w:tcW w:w="312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全员集成测试与干净环境复现；D 主导视频；A 汇总报告</w:t>
            </w:r>
          </w:p>
        </w:tc>
        <w:tc>
          <w:tcPr>
            <w:tcW w:w="312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报告修订稿、手册、视频素材与预演</w:t>
            </w:r>
          </w:p>
        </w:tc>
      </w:tr>
      <w:tr>
        <w:tc>
          <w:tcPr>
            <w:tcW w:w="312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W6 10/19–25</w:t>
            </w:r>
          </w:p>
        </w:tc>
        <w:tc>
          <w:tcPr>
            <w:tcW w:w="312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全员终审、视频、打包、个人反思及提交</w:t>
            </w:r>
          </w:p>
        </w:tc>
        <w:tc>
          <w:tcPr>
            <w:tcW w:w="312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10/25 前完成最终交付</w:t>
            </w:r>
          </w:p>
        </w:tc>
      </w:tr>
    </w:tbl>
    <w:p>
      <w:pPr>
        <w:spacing w:before="120" w:after="90" w:line="276" w:lineRule="auto"/>
        <w:jc w:val="center"/>
      </w:pPr>
      <w:r>
        <w:drawing>
          <wp:inline distT="0" distB="0" distL="0" distR="0">
            <wp:extent cx="5669280" cy="3720465"/>
            <wp:effectExtent l="0" t="0" r="0" b="0"/>
            <wp:docPr id="10" name="图 7 周计划" descr="图 7 周计划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" name="图 7 周计划"/>
                    <pic:cNvPicPr>
                      <a:picLocks noChangeAspect="1" noChangeArrowheads="1"/>
                    </pic:cNvPicPr>
                  </pic:nvPicPr>
                  <pic:blipFill>
                    <a:blip r:embed="rIdImg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3720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95" w:line="276" w:lineRule="auto"/>
      </w:pPr>
      <w:r>
        <w:rPr>
          <w:rFonts w:ascii="Aptos" w:hAnsi="Aptos" w:eastAsia="Microsoft YaHei"/>
          <w:sz w:val="21"/>
          <w:szCs w:val="21"/>
          <w:color w:val="000000"/>
          <w:b/>
          <w:bCs/>
        </w:rPr>
        <w:t>图 7：</w:t>
      </w:r>
      <w:r>
        <w:rPr>
          <w:rFonts w:ascii="Aptos" w:hAnsi="Aptos" w:eastAsia="Microsoft YaHei"/>
          <w:sz w:val="21"/>
          <w:szCs w:val="21"/>
          <w:color w:val="000000"/>
        </w:rPr>
        <w:t>保留提交节点，后续重心转向集成与评估。</w:t>
      </w:r>
    </w:p>
    <w:p>
      <w:pPr>
        <w:keepNext/>
        <w:spacing w:before="260" w:after="100" w:line="300" w:lineRule="auto"/>
      </w:pPr>
      <w:r>
        <w:rPr>
          <w:rFonts w:ascii="Aptos" w:hAnsi="Aptos" w:eastAsia="Microsoft YaHei"/>
          <w:sz w:val="28"/>
          <w:szCs w:val="28"/>
          <w:color w:val="000000"/>
          <w:b/>
          <w:bCs/>
        </w:rPr>
        <w:t>11. 风险与缓解</w:t>
      </w:r>
    </w:p>
    <w:tbl>
      <w:tblPr>
        <w:tblW w:w="9360" w:type="dxa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  <w:tblLook w:firstRow="1" w:lastRow="0" w:firstColumn="0" w:lastColumn="0" w:noHBand="0" w:noVBand="1"/>
      </w:tblPr>
      <w:tblGrid>
        <w:gridCol w:w="4680"/>
        <w:gridCol w:w="4680"/>
      </w:tblGrid>
      <w:tr>
        <w:tc>
          <w:tcPr>
            <w:tcW w:w="4680" w:type="dxa"/>
            <w:shd w:fill="1F4E79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FFFFFF"/>
                <w:b/>
                <w:bCs/>
              </w:rPr>
              <w:t>风险</w:t>
            </w:r>
          </w:p>
        </w:tc>
        <w:tc>
          <w:tcPr>
            <w:tcW w:w="4680" w:type="dxa"/>
            <w:shd w:fill="1F4E79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FFFFFF"/>
                <w:b/>
                <w:bCs/>
              </w:rPr>
              <w:t>缓解与披露</w:t>
            </w:r>
          </w:p>
        </w:tc>
      </w:tr>
      <w:tr>
        <w:tc>
          <w:tcPr>
            <w:tcW w:w="468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工程阈值误作稳定性界限</w:t>
            </w:r>
          </w:p>
        </w:tc>
        <w:tc>
          <w:tcPr>
            <w:tcW w:w="468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标注证据层级、产品适用性与假设，保留人工复核</w:t>
            </w:r>
          </w:p>
        </w:tc>
      </w:tr>
      <w:tr>
        <w:tc>
          <w:tcPr>
            <w:tcW w:w="468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标注一致性不足及政策未决</w:t>
            </w:r>
          </w:p>
        </w:tc>
        <w:tc>
          <w:tcPr>
            <w:tcW w:w="468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报告 κ、混淆矩阵、小样本限制，以领域依据驱动修订</w:t>
            </w:r>
          </w:p>
        </w:tc>
      </w:tr>
      <w:tr>
        <w:tc>
          <w:tcPr>
            <w:tcW w:w="468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合成数据与不同粒度导致外推失真</w:t>
            </w:r>
          </w:p>
        </w:tc>
        <w:tc>
          <w:tcPr>
            <w:tcW w:w="468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分数据集定义任务，检查时点与分组泄漏</w:t>
            </w:r>
          </w:p>
        </w:tc>
      </w:tr>
      <w:tr>
        <w:tc>
          <w:tcPr>
            <w:tcW w:w="468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原因 Top-1 较弱</w:t>
            </w:r>
          </w:p>
        </w:tc>
        <w:tc>
          <w:tcPr>
            <w:tcW w:w="468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保留多数类基线，分析候选排序及特征可用性</w:t>
            </w:r>
          </w:p>
        </w:tc>
      </w:tr>
      <w:tr>
        <w:tc>
          <w:tcPr>
            <w:tcW w:w="468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模块独立但业务未接通</w:t>
            </w:r>
          </w:p>
        </w:tc>
        <w:tc>
          <w:tcPr>
            <w:tcW w:w="468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A/C/D 优先固定订单、目的地、数量、时窗与案例关联</w:t>
            </w:r>
          </w:p>
        </w:tc>
      </w:tr>
      <w:tr>
        <w:tc>
          <w:tcPr>
            <w:tcW w:w="468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问答引用无关或缺失证据</w:t>
            </w:r>
          </w:p>
        </w:tc>
        <w:tc>
          <w:tcPr>
            <w:tcW w:w="468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逐案例验证相关性，区分无记录、证据不足与故障</w:t>
            </w:r>
          </w:p>
        </w:tc>
      </w:tr>
      <w:tr>
        <w:tc>
          <w:tcPr>
            <w:tcW w:w="468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日志或 KG 保存失败</w:t>
            </w:r>
          </w:p>
        </w:tc>
        <w:tc>
          <w:tcPr>
            <w:tcW w:w="468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验收失败提示、重复触发和关联完整性，不宣称审计级持久性</w:t>
            </w:r>
          </w:p>
        </w:tc>
      </w:tr>
      <w:tr>
        <w:tc>
          <w:tcPr>
            <w:tcW w:w="468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优化无解或指标不可比</w:t>
            </w:r>
          </w:p>
        </w:tc>
        <w:tc>
          <w:tcPr>
            <w:tcW w:w="468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报告未服务/违规，对齐约束、目标、单位和预算</w:t>
            </w:r>
          </w:p>
        </w:tc>
      </w:tr>
      <w:tr>
        <w:tc>
          <w:tcPr>
            <w:tcW w:w="468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范围与环境影响交付</w:t>
            </w:r>
          </w:p>
        </w:tc>
        <w:tc>
          <w:tcPr>
            <w:tcW w:w="468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扩展后置，记录实际依赖与复现步骤，保留离线演示</w:t>
            </w:r>
          </w:p>
        </w:tc>
      </w:tr>
      <w:tr>
        <w:tc>
          <w:tcPr>
            <w:tcW w:w="468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数据使用和来源追踪</w:t>
            </w:r>
          </w:p>
        </w:tc>
        <w:tc>
          <w:tcPr>
            <w:tcW w:w="468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保留许可、署名与指纹，原始个人标注不入库</w:t>
            </w:r>
          </w:p>
        </w:tc>
      </w:tr>
    </w:tbl>
    <w:p>
      <w:pPr>
        <w:keepNext/>
        <w:spacing w:before="260" w:after="100" w:line="300" w:lineRule="auto"/>
      </w:pPr>
      <w:r>
        <w:rPr>
          <w:rFonts w:ascii="Aptos" w:hAnsi="Aptos" w:eastAsia="Microsoft YaHei"/>
          <w:sz w:val="28"/>
          <w:szCs w:val="28"/>
          <w:color w:val="000000"/>
          <w:b/>
          <w:bCs/>
        </w:rPr>
        <w:t>12. 最终交付物</w:t>
      </w:r>
    </w:p>
    <w:p>
      <w:pPr>
        <w:spacing w:before="0" w:after="65" w:line="276" w:lineRule="auto"/>
        <w:ind w:left="420" w:hanging="220"/>
      </w:pPr>
      <w:r>
        <w:rPr>
          <w:rFonts w:ascii="Aptos" w:hAnsi="Aptos" w:eastAsia="Microsoft YaHei"/>
          <w:sz w:val="21"/>
          <w:szCs w:val="21"/>
          <w:color w:val="000000"/>
        </w:rPr>
        <w:t>• GitHub 仓库：规则、数据处理、模型实验、优化、KG/API 和前端。</w:t>
      </w:r>
    </w:p>
    <w:p>
      <w:pPr>
        <w:spacing w:before="0" w:after="65" w:line="276" w:lineRule="auto"/>
        <w:ind w:left="420" w:hanging="220"/>
      </w:pPr>
      <w:r>
        <w:rPr>
          <w:rFonts w:ascii="Aptos" w:hAnsi="Aptos" w:eastAsia="Microsoft YaHei"/>
          <w:sz w:val="21"/>
          <w:szCs w:val="21"/>
          <w:color w:val="000000"/>
        </w:rPr>
        <w:t>• 正式报告、用户手册、个人反思及按课程要求组织的提交压缩包。</w:t>
      </w:r>
    </w:p>
    <w:p>
      <w:pPr>
        <w:spacing w:before="0" w:after="65" w:line="276" w:lineRule="auto"/>
        <w:ind w:left="420" w:hanging="220"/>
      </w:pPr>
      <w:r>
        <w:rPr>
          <w:rFonts w:ascii="Aptos" w:hAnsi="Aptos" w:eastAsia="Microsoft YaHei"/>
          <w:sz w:val="21"/>
          <w:szCs w:val="21"/>
          <w:color w:val="000000"/>
        </w:rPr>
        <w:t>• 两个 5 分钟视频，展示业务流程和技术/评估，明确模拟与未完成部分。</w:t>
      </w:r>
    </w:p>
    <w:p>
      <w:pPr>
        <w:spacing w:before="0" w:after="65" w:line="276" w:lineRule="auto"/>
        <w:ind w:left="420" w:hanging="220"/>
      </w:pPr>
      <w:r>
        <w:rPr>
          <w:rFonts w:ascii="Aptos" w:hAnsi="Aptos" w:eastAsia="Microsoft YaHei"/>
          <w:sz w:val="21"/>
          <w:szCs w:val="21"/>
          <w:color w:val="000000"/>
        </w:rPr>
        <w:t>• 复现实验说明、规则假设与来源清单、标注结论、路线指标和问答评估集。</w:t>
      </w:r>
    </w:p>
    <w:p>
      <w:pPr>
        <w:spacing w:before="0" w:after="95" w:line="276" w:lineRule="auto"/>
      </w:pPr>
      <w:r>
        <w:rPr>
          <w:rFonts w:ascii="Aptos" w:hAnsi="Aptos" w:eastAsia="Microsoft YaHei"/>
          <w:sz w:val="21"/>
          <w:szCs w:val="21"/>
          <w:color w:val="000000"/>
        </w:rPr>
        <w:t>当前 Markdown 为本轮更新的中英文提案源稿，中文 Word 已按本版重新生成。正式提交前须核对 PPT 与本版一致性，并补提交记录；内容修订本身不表示 W0 已提交。</w:t>
      </w:r>
    </w:p>
    <w:p>
      <w:pPr>
        <w:keepNext/>
        <w:spacing w:before="260" w:after="100" w:line="300" w:lineRule="auto"/>
      </w:pPr>
      <w:r>
        <w:rPr>
          <w:rFonts w:ascii="Aptos" w:hAnsi="Aptos" w:eastAsia="Microsoft YaHei"/>
          <w:sz w:val="28"/>
          <w:szCs w:val="28"/>
          <w:color w:val="000000"/>
          <w:b/>
          <w:bCs/>
        </w:rPr>
        <w:t>13. 结论</w:t>
      </w:r>
    </w:p>
    <w:p>
      <w:pPr>
        <w:spacing w:before="0" w:after="95" w:line="276" w:lineRule="auto"/>
      </w:pPr>
      <w:r>
        <w:rPr>
          <w:rFonts w:ascii="Aptos" w:hAnsi="Aptos" w:eastAsia="Microsoft YaHei"/>
          <w:sz w:val="21"/>
          <w:szCs w:val="21"/>
          <w:color w:val="000000"/>
        </w:rPr>
        <w:t>PharmaColdOps 已具备规则决策核心、独立人工标注、离线实验和真实新加坡道路上的配送求解。结果同时揭示规则理解分歧、原因分类能力有限、数据真实性与产品阈值证据不足等限制，将指导后续验证。</w:t>
      </w:r>
    </w:p>
    <w:p>
      <w:pPr>
        <w:spacing w:before="0" w:after="95" w:line="276" w:lineRule="auto"/>
      </w:pPr>
      <w:r>
        <w:rPr>
          <w:rFonts w:ascii="Aptos" w:hAnsi="Aptos" w:eastAsia="Microsoft YaHei"/>
          <w:sz w:val="21"/>
          <w:szCs w:val="21"/>
          <w:color w:val="000000"/>
        </w:rPr>
        <w:t>剩余重点是接通补发需求、配送结果与案例证据，在 2026-10-25 前交付可解释、可复现、披露适用边界的最小闭环。项目以集成和评估展示 IRS 四类技术，不以未经验证的临床、运营或合规收益作为完成标准。</w:t>
      </w:r>
    </w:p>
    <w:p>
      <w:pPr>
        <w:keepNext/>
        <w:spacing w:before="260" w:after="100" w:line="300" w:lineRule="auto"/>
      </w:pPr>
      <w:r>
        <w:rPr>
          <w:rFonts w:ascii="Aptos" w:hAnsi="Aptos" w:eastAsia="Microsoft YaHei"/>
          <w:sz w:val="28"/>
          <w:szCs w:val="28"/>
          <w:color w:val="000000"/>
          <w:b/>
          <w:bCs/>
        </w:rPr>
        <w:t>14. 参考文献与项目依据</w:t>
      </w:r>
    </w:p>
    <w:p>
      <w:pPr>
        <w:spacing w:before="0" w:after="65" w:line="276" w:lineRule="auto"/>
        <w:ind w:left="420" w:hanging="220"/>
      </w:pPr>
      <w:r>
        <w:rPr>
          <w:rFonts w:ascii="Aptos" w:hAnsi="Aptos" w:eastAsia="Microsoft YaHei"/>
          <w:sz w:val="21"/>
          <w:szCs w:val="21"/>
          <w:color w:val="000000"/>
        </w:rPr>
        <w:t>• WHO. TRS 961 Annex 9 (https://www.who.int/publications/m/item/trs961-annex9-modelguidanceforstoragetransport).</w:t>
      </w:r>
    </w:p>
    <w:p>
      <w:pPr>
        <w:spacing w:before="0" w:after="65" w:line="276" w:lineRule="auto"/>
        <w:ind w:left="420" w:hanging="220"/>
      </w:pPr>
      <w:r>
        <w:rPr>
          <w:rFonts w:ascii="Aptos" w:hAnsi="Aptos" w:eastAsia="Microsoft YaHei"/>
          <w:sz w:val="21"/>
          <w:szCs w:val="21"/>
          <w:color w:val="000000"/>
        </w:rPr>
        <w:t>• European Commission. GDP 2013/C 343/01 (https://eur-lex.europa.eu/legal-content/EN/TXT/?uri=CELEX%3A32013C0343).</w:t>
      </w:r>
    </w:p>
    <w:p>
      <w:pPr>
        <w:spacing w:before="0" w:after="65" w:line="276" w:lineRule="auto"/>
        <w:ind w:left="420" w:hanging="220"/>
      </w:pPr>
      <w:r>
        <w:rPr>
          <w:rFonts w:ascii="Aptos" w:hAnsi="Aptos" w:eastAsia="Microsoft YaHei"/>
          <w:sz w:val="21"/>
          <w:szCs w:val="21"/>
          <w:color w:val="000000"/>
        </w:rPr>
        <w:t>• ICH. Quality Guidelines (https://www.ich.org/page/quality-guidelines).</w:t>
      </w:r>
    </w:p>
    <w:p>
      <w:pPr>
        <w:spacing w:before="0" w:after="65" w:line="276" w:lineRule="auto"/>
        <w:ind w:left="420" w:hanging="220"/>
      </w:pPr>
      <w:r>
        <w:rPr>
          <w:rFonts w:ascii="Aptos" w:hAnsi="Aptos" w:eastAsia="Microsoft YaHei"/>
          <w:sz w:val="21"/>
          <w:szCs w:val="21"/>
          <w:color w:val="000000"/>
        </w:rPr>
        <w:t>• CDC. Vaccine Storage and Handling (https://www.cdc.gov/pinkbook/hcp/table-of-contents/chapter-5-vaccine-storage-and-handling.html).</w:t>
      </w:r>
    </w:p>
    <w:p>
      <w:pPr>
        <w:spacing w:before="0" w:after="65" w:line="276" w:lineRule="auto"/>
        <w:ind w:left="420" w:hanging="220"/>
      </w:pPr>
      <w:r>
        <w:rPr>
          <w:rFonts w:ascii="Aptos" w:hAnsi="Aptos" w:eastAsia="Microsoft YaHei"/>
          <w:sz w:val="21"/>
          <w:szCs w:val="21"/>
          <w:color w:val="000000"/>
        </w:rPr>
        <w:t>• Controlant. Applications and Product Stability Automation (https://www.controlant.com/applications)（2026-09-12 核查，厂商自述）。</w:t>
      </w:r>
    </w:p>
    <w:p>
      <w:pPr>
        <w:spacing w:before="0" w:after="65" w:line="276" w:lineRule="auto"/>
        <w:ind w:left="420" w:hanging="220"/>
      </w:pPr>
      <w:r>
        <w:rPr>
          <w:rFonts w:ascii="Aptos" w:hAnsi="Aptos" w:eastAsia="Microsoft YaHei"/>
          <w:sz w:val="21"/>
          <w:szCs w:val="21"/>
          <w:color w:val="000000"/>
        </w:rPr>
        <w:t>• Solomon, M. M. (1987). Algorithms for the Vehicle Routing and Scheduling Problems with Time Window Constraints (https://doi.org/10.1287/opre.35.2.254). Operations Research, 35(2), 254–265.</w:t>
      </w:r>
    </w:p>
    <w:p>
      <w:pPr>
        <w:spacing w:before="0" w:after="65" w:line="276" w:lineRule="auto"/>
        <w:ind w:left="420" w:hanging="220"/>
      </w:pPr>
      <w:r>
        <w:rPr>
          <w:rFonts w:ascii="Aptos" w:hAnsi="Aptos" w:eastAsia="Microsoft YaHei"/>
          <w:sz w:val="21"/>
          <w:szCs w:val="21"/>
          <w:color w:val="000000"/>
        </w:rPr>
        <w:t>• Chen, T., &amp; Guestrin, C. (2016). XGBoost: A Scalable Tree Boosting System (https://arxiv.org/abs/1603.02754). ACM SIGKDD.</w:t>
      </w:r>
    </w:p>
    <w:p>
      <w:pPr>
        <w:spacing w:before="0" w:after="65" w:line="276" w:lineRule="auto"/>
        <w:ind w:left="420" w:hanging="220"/>
      </w:pPr>
      <w:r>
        <w:rPr>
          <w:rFonts w:ascii="Aptos" w:hAnsi="Aptos" w:eastAsia="Microsoft YaHei"/>
          <w:sz w:val="21"/>
          <w:szCs w:val="21"/>
          <w:color w:val="000000"/>
        </w:rPr>
        <w:t>• Ke, G., et al. (2017). LightGBM: A Highly Efficient Gradient Boosting Decision Tree (https://papers.nips.cc/paper/6907-lightgbm-a-highly-efficient-gradient-boosting-decision-tree). NeurIPS.</w:t>
      </w:r>
    </w:p>
    <w:p>
      <w:pPr>
        <w:spacing w:before="0" w:after="65" w:line="276" w:lineRule="auto"/>
        <w:ind w:left="420" w:hanging="220"/>
      </w:pPr>
      <w:r>
        <w:rPr>
          <w:rFonts w:ascii="Aptos" w:hAnsi="Aptos" w:eastAsia="Microsoft YaHei"/>
          <w:sz w:val="21"/>
          <w:szCs w:val="21"/>
          <w:color w:val="000000"/>
        </w:rPr>
        <w:t>• Lundberg, S. M., &amp; Lee, S.-I. (2017). A Unified Approach to Interpreting Model Predictions (https://arxiv.org/abs/1705.07874). NeurIPS.</w:t>
      </w:r>
    </w:p>
    <w:p>
      <w:pPr>
        <w:spacing w:before="0" w:after="65" w:line="276" w:lineRule="auto"/>
        <w:ind w:left="420" w:hanging="220"/>
      </w:pPr>
      <w:r>
        <w:rPr>
          <w:rFonts w:ascii="Aptos" w:hAnsi="Aptos" w:eastAsia="Microsoft YaHei"/>
          <w:sz w:val="21"/>
          <w:szCs w:val="21"/>
          <w:color w:val="000000"/>
        </w:rPr>
        <w:t>• Google. OR-Tools Routing Options (https://developers.google.com/optimization/routing/routing_options).</w:t>
      </w:r>
    </w:p>
    <w:p>
      <w:pPr>
        <w:spacing w:before="0" w:after="65" w:line="276" w:lineRule="auto"/>
        <w:ind w:left="420" w:hanging="220"/>
      </w:pPr>
      <w:r>
        <w:rPr>
          <w:rFonts w:ascii="Aptos" w:hAnsi="Aptos" w:eastAsia="Microsoft YaHei"/>
          <w:sz w:val="21"/>
          <w:szCs w:val="21"/>
          <w:color w:val="000000"/>
        </w:rPr>
        <w:t>• OpenStreetMap contributors. Copyright and ODbL (https://www.openstreetmap.org/copyright).</w:t>
      </w:r>
    </w:p>
    <w:p>
      <w:pPr>
        <w:spacing w:before="0" w:after="65" w:line="276" w:lineRule="auto"/>
        <w:ind w:left="420" w:hanging="220"/>
      </w:pPr>
      <w:r>
        <w:rPr>
          <w:rFonts w:ascii="Aptos" w:hAnsi="Aptos" w:eastAsia="Microsoft YaHei"/>
          <w:sz w:val="21"/>
          <w:szCs w:val="21"/>
          <w:color w:val="000000"/>
        </w:rPr>
        <w:t>• 数据集链接见 §7.1；项目证据见 DATA_DICTIONARY (../data/ml/DATA_DICTIONARY.md)、PROGRESS (../PROGRESS.md)、网络假设 (../docs/singapore_network_assumptions.md)、标注统计 (../data/processed/agreement_stats.md)、PROVENANCE (../data/processed/PROVENANCE.md)。</w:t>
      </w:r>
    </w:p>
    <w:p>
      <w:pPr>
        <w:spacing w:before="0" w:after="65" w:line="276" w:lineRule="auto"/>
        <w:ind w:left="420" w:hanging="220"/>
      </w:pPr>
      <w:r>
        <w:rPr>
          <w:rFonts w:ascii="Aptos" w:hAnsi="Aptos" w:eastAsia="Microsoft YaHei"/>
          <w:sz w:val="21"/>
          <w:szCs w:val="21"/>
          <w:color w:val="000000"/>
        </w:rPr>
        <w:t>• NUS-ISS. IRS 提案与终期展示指南 v016 (IRS%20practice%20module%20project%20proposal%20%26%20final%20presentation%20guidelines%20v016.pdf)（课程提供材料）。</w:t>
      </w:r>
    </w:p>
    <w:p>
      <w:pPr>
        <w:keepNext/>
        <w:spacing w:before="260" w:after="100" w:line="300" w:lineRule="auto"/>
      </w:pPr>
      <w:r>
        <w:rPr>
          <w:rFonts w:ascii="Aptos" w:hAnsi="Aptos" w:eastAsia="Microsoft YaHei"/>
          <w:sz w:val="28"/>
          <w:szCs w:val="28"/>
          <w:color w:val="000000"/>
          <w:b/>
          <w:bCs/>
        </w:rPr>
        <w:t>15. 补充说明 AI 的使用</w:t>
      </w:r>
    </w:p>
    <w:p>
      <w:pPr>
        <w:spacing w:before="0" w:after="95" w:line="276" w:lineRule="auto"/>
      </w:pPr>
      <w:r>
        <w:rPr>
          <w:rFonts w:ascii="Aptos" w:hAnsi="Aptos" w:eastAsia="Microsoft YaHei"/>
          <w:sz w:val="21"/>
          <w:szCs w:val="21"/>
          <w:color w:val="000000"/>
        </w:rPr>
        <w:t>本提案使用生成式 AI 辅助起草、翻译、编排和核对，早期稿使用 Claude，本次修订使用 Codex。AI 也协助场景草案与开发；人工 gold 来自 B/C 独立标注和 A 仲裁。AI 输出不是稳定性或合规结论的依据。团队负责核对引用、规则假设、实验复现和提交材料；尚未完成的产品级或外部验证已在正文说明。</w:t>
      </w:r>
    </w:p>
    <w:sectPr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Img1" Type="http://schemas.openxmlformats.org/officeDocument/2006/relationships/image" Target="media/image1.svg"/><Relationship Id="rIdImg2" Type="http://schemas.openxmlformats.org/officeDocument/2006/relationships/image" Target="media/image2.svg"/><Relationship Id="rIdImg3" Type="http://schemas.openxmlformats.org/officeDocument/2006/relationships/image" Target="media/image3.svg"/><Relationship Id="rIdImg4" Type="http://schemas.openxmlformats.org/officeDocument/2006/relationships/image" Target="media/image4.svg"/><Relationship Id="rIdImg5" Type="http://schemas.openxmlformats.org/officeDocument/2006/relationships/image" Target="media/image5.png"/><Relationship Id="rIdImg6" Type="http://schemas.openxmlformats.org/officeDocument/2006/relationships/image" Target="media/image6.png"/><Relationship Id="rIdImg7" Type="http://schemas.openxmlformats.org/officeDocument/2006/relationships/image" Target="media/image7.png"/><Relationship Id="rIdImg8" Type="http://schemas.openxmlformats.org/officeDocument/2006/relationships/image" Target="media/image8.svg"/><Relationship Id="rIdImg9" Type="http://schemas.openxmlformats.org/officeDocument/2006/relationships/image" Target="media/image9.svg"/><Relationship Id="rIdImg10" Type="http://schemas.openxmlformats.org/officeDocument/2006/relationships/image" Target="media/image10.sv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PharmaColdOps 项目提案</dc:title>
  <dc:subject>冷链药品温度偏移处置与配送改派决策支持原型</dc:subject>
  <dc:creator>PharmaColdOps Team</dc:creator>
  <cp:lastModifiedBy>Codex</cp:lastModifiedBy>
  <dcterms:created xsi:type="dcterms:W3CDTF">2026-09-14T16:11:15Z</dcterms:created>
  <dcterms:modified xsi:type="dcterms:W3CDTF">2026-09-14T16:11:15Z</dcterms:modified>
</cp:coreProperties>
</file>