
<file path=[Content_Types].xml><?xml version="1.0" encoding="utf-8"?>
<Types xmlns="http://schemas.openxmlformats.org/package/2006/content-types">
  <Default Extension="svg" ContentType="image/svg+xml"/>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5537AAD">
      <w:pPr>
        <w:keepNext/>
        <w:spacing w:before="0" w:after="80" w:line="320" w:lineRule="auto"/>
      </w:pPr>
      <w:r>
        <w:rPr>
          <w:rFonts w:ascii="Aptos" w:hAnsi="Aptos" w:eastAsia="Microsoft YaHei" w:cs="Aptos"/>
          <w:b/>
          <w:bCs/>
          <w:color w:val="000000"/>
          <w:sz w:val="40"/>
          <w:szCs w:val="40"/>
        </w:rPr>
        <w:t>PharmaColdOps</w:t>
      </w:r>
    </w:p>
    <w:p w14:paraId="7D180E0F">
      <w:pPr>
        <w:keepNext/>
        <w:spacing w:before="260" w:after="100" w:line="300" w:lineRule="auto"/>
      </w:pPr>
      <w:r>
        <w:rPr>
          <w:rFonts w:ascii="Aptos" w:hAnsi="Aptos" w:eastAsia="Microsoft YaHei" w:cs="Aptos"/>
          <w:b/>
          <w:bCs/>
          <w:color w:val="000000"/>
          <w:sz w:val="28"/>
          <w:szCs w:val="28"/>
        </w:rPr>
        <w:t>Decision Support for Cold Chain Pharmaceutical Excursions and Delivery Replanning</w:t>
      </w:r>
    </w:p>
    <w:p w14:paraId="4BBB6961">
      <w:pPr>
        <w:spacing w:before="0" w:after="95" w:line="276" w:lineRule="auto"/>
      </w:pPr>
      <w:r>
        <w:rPr>
          <w:rFonts w:ascii="Aptos" w:hAnsi="Aptos" w:eastAsia="Microsoft YaHei" w:cs="Aptos"/>
          <w:color w:val="000000"/>
          <w:sz w:val="21"/>
          <w:szCs w:val="21"/>
        </w:rPr>
        <w:t>Course: IRS Practice Module</w:t>
      </w:r>
    </w:p>
    <w:p w14:paraId="2C8715CA">
      <w:pPr>
        <w:spacing w:before="0" w:after="95" w:line="276" w:lineRule="auto"/>
      </w:pPr>
      <w:r>
        <w:rPr>
          <w:rFonts w:ascii="Aptos" w:hAnsi="Aptos" w:eastAsia="Microsoft YaHei" w:cs="Aptos"/>
          <w:color w:val="000000"/>
          <w:sz w:val="21"/>
          <w:szCs w:val="21"/>
        </w:rPr>
        <w:t>Group name: Project Group 52</w:t>
      </w:r>
    </w:p>
    <w:p w14:paraId="102129C6">
      <w:pPr>
        <w:spacing w:before="0" w:after="95" w:line="276" w:lineRule="auto"/>
      </w:pPr>
      <w:r>
        <w:rPr>
          <w:rFonts w:ascii="Aptos" w:hAnsi="Aptos" w:eastAsia="Microsoft YaHei" w:cs="Aptos"/>
          <w:color w:val="000000"/>
          <w:sz w:val="21"/>
          <w:szCs w:val="21"/>
        </w:rPr>
        <w:t xml:space="preserve">Members: Xu Wenzhe (A0328771W), Zhu Jianyu (A0353769L), Wang Lepeng (A0357864L), Shen Ziyi (A0350940J). </w:t>
      </w:r>
    </w:p>
    <w:p w14:paraId="6E2B9792">
      <w:pPr>
        <w:keepNext/>
        <w:spacing w:before="260" w:after="100" w:line="300" w:lineRule="auto"/>
      </w:pPr>
      <w:r>
        <w:rPr>
          <w:rFonts w:ascii="Aptos" w:hAnsi="Aptos" w:eastAsia="Microsoft YaHei" w:cs="Aptos"/>
          <w:b/>
          <w:bCs/>
          <w:color w:val="000000"/>
          <w:sz w:val="28"/>
          <w:szCs w:val="28"/>
        </w:rPr>
        <w:t>1. Project Overview</w:t>
      </w:r>
    </w:p>
    <w:p w14:paraId="3ED7CCFC">
      <w:pPr>
        <w:spacing w:before="0" w:after="95" w:line="276" w:lineRule="auto"/>
      </w:pPr>
      <w:r>
        <w:rPr>
          <w:rFonts w:ascii="Aptos" w:hAnsi="Aptos" w:eastAsia="Microsoft YaHei" w:cs="Aptos"/>
          <w:color w:val="000000"/>
          <w:sz w:val="21"/>
          <w:szCs w:val="21"/>
        </w:rPr>
        <w:t>PharmaColdOps supports temperature-excursion assessment in pharmaceutical transport and storage. A deterministic rule engine produces traceable disposition recommendations, with a delivery optimiser and knowledge graph intended to connect replacement demand to routes and evidence. Batch dispositions are release, quarantine, retest and scrap. Reshipment is a separate logistics action, not a fifth mutually exclusive disposition.</w:t>
      </w:r>
    </w:p>
    <w:p w14:paraId="03F6B59E">
      <w:pPr>
        <w:spacing w:before="0" w:after="95" w:line="276" w:lineRule="auto"/>
      </w:pPr>
      <w:r>
        <w:rPr>
          <w:rFonts w:ascii="Aptos" w:hAnsi="Aptos" w:eastAsia="Microsoft YaHei" w:cs="Aptos"/>
          <w:color w:val="000000"/>
          <w:sz w:val="21"/>
          <w:szCs w:val="21"/>
        </w:rPr>
        <w:t>The project covers four IRS technique groups: decision automation, resource optimisation, knowledge discovery and data mining, and cognitive systems. The delivery objective is a minimal integrated workflow in a controlled Singapore scenario: temperature event → disposition recommendation → reshipment order → delivery plan → evidence query. Risk and candidate-cause classification remain offline experiments and do not enter the disposition API.</w:t>
      </w:r>
    </w:p>
    <w:p w14:paraId="5C4E34D1">
      <w:pPr>
        <w:spacing w:before="0" w:after="95" w:line="276" w:lineRule="auto"/>
      </w:pPr>
      <w:r>
        <w:rPr>
          <w:rFonts w:ascii="Aptos" w:hAnsi="Aptos" w:eastAsia="Microsoft YaHei" w:cs="Aptos"/>
          <w:color w:val="000000"/>
          <w:sz w:val="21"/>
          <w:szCs w:val="21"/>
        </w:rPr>
        <w:t>By now, the rule engine, bilingual interface, independently annotated scenarios, offline ML baselines, Singapore routing, order-driven reshipment solving and KG case-write code have been developed. The frontend calls the live routing and graph QA endpoints for archived reshipment cases. An order-driven dispatch screen and an expanded destination pool remain to be built. This prototype does not replace final quality approval or claim production or regulatory validation.</w:t>
      </w:r>
    </w:p>
    <w:p w14:paraId="24B1C096">
      <w:pPr>
        <w:keepNext/>
        <w:spacing w:before="260" w:after="100" w:line="300" w:lineRule="auto"/>
      </w:pPr>
      <w:r>
        <w:rPr>
          <w:rFonts w:ascii="Aptos" w:hAnsi="Aptos" w:eastAsia="Microsoft YaHei" w:cs="Aptos"/>
          <w:b/>
          <w:bCs/>
          <w:color w:val="000000"/>
          <w:sz w:val="28"/>
          <w:szCs w:val="28"/>
        </w:rPr>
        <w:t>2. Problem Definition</w:t>
      </w:r>
    </w:p>
    <w:p w14:paraId="5DB3C964">
      <w:pPr>
        <w:spacing w:before="0" w:after="95" w:line="276" w:lineRule="auto"/>
      </w:pPr>
      <w:r>
        <w:rPr>
          <w:rFonts w:ascii="Aptos" w:hAnsi="Aptos" w:eastAsia="Microsoft YaHei" w:cs="Aptos"/>
          <w:color w:val="000000"/>
          <w:sz w:val="21"/>
          <w:szCs w:val="21"/>
        </w:rPr>
        <w:t>After an excursion, quality staff must check product requirements, exposure conditions and packaging, record their reasoning, and coordinate continued supply. The project investigates three testable questions:</w:t>
      </w:r>
    </w:p>
    <w:p w14:paraId="19EABCC0">
      <w:pPr>
        <w:spacing w:before="0" w:after="65" w:line="276" w:lineRule="auto"/>
        <w:ind w:left="420" w:hanging="220"/>
      </w:pPr>
      <w:r>
        <w:rPr>
          <w:rFonts w:ascii="Aptos" w:hAnsi="Aptos" w:eastAsia="Microsoft YaHei" w:cs="Aptos"/>
          <w:color w:val="000000"/>
          <w:sz w:val="21"/>
          <w:szCs w:val="21"/>
        </w:rPr>
        <w:t>• Can written rules be implemented consistently while exposing differences between the specification and human judgement?</w:t>
      </w:r>
    </w:p>
    <w:p w14:paraId="7D230080">
      <w:pPr>
        <w:spacing w:before="0" w:after="65" w:line="276" w:lineRule="auto"/>
        <w:ind w:left="420" w:hanging="220"/>
      </w:pPr>
      <w:r>
        <w:rPr>
          <w:rFonts w:ascii="Aptos" w:hAnsi="Aptos" w:eastAsia="Microsoft YaHei" w:cs="Aptos"/>
          <w:color w:val="000000"/>
          <w:sz w:val="21"/>
          <w:szCs w:val="21"/>
        </w:rPr>
        <w:t>• Under vehicle-capacity and delivery-window constraints, how much can optimisation improve distance and service feasibility over a greedy baseline?</w:t>
      </w:r>
    </w:p>
    <w:p w14:paraId="435E393F">
      <w:pPr>
        <w:spacing w:before="0" w:after="65" w:line="276" w:lineRule="auto"/>
        <w:ind w:left="420" w:hanging="220"/>
      </w:pPr>
      <w:r>
        <w:rPr>
          <w:rFonts w:ascii="Aptos" w:hAnsi="Aptos" w:eastAsia="Microsoft YaHei" w:cs="Aptos"/>
          <w:color w:val="000000"/>
          <w:sz w:val="21"/>
          <w:szCs w:val="21"/>
        </w:rPr>
        <w:t>• Can a user trace a closed case to its inputs, rule path and evidence, with explicit feedback when records are missing?</w:t>
      </w:r>
    </w:p>
    <w:p w14:paraId="632778B8">
      <w:pPr>
        <w:spacing w:before="0" w:after="95" w:line="276" w:lineRule="auto"/>
      </w:pPr>
      <w:r>
        <w:rPr>
          <w:rFonts w:ascii="Aptos" w:hAnsi="Aptos" w:eastAsia="Microsoft YaHei" w:cs="Aptos"/>
          <w:color w:val="000000"/>
          <w:sz w:val="21"/>
          <w:szCs w:val="21"/>
        </w:rPr>
        <w:t>Reduced assessment time, fewer inappropriate dispositions and less supply disruption are intended benefits. There is no operational controlled trial, so these are not reported as achieved, quantified benefits.</w:t>
      </w:r>
    </w:p>
    <w:p w14:paraId="7BCEB3B6">
      <w:pPr>
        <w:keepNext/>
        <w:spacing w:before="260" w:after="100" w:line="300" w:lineRule="auto"/>
      </w:pPr>
      <w:r>
        <w:rPr>
          <w:rFonts w:ascii="Aptos" w:hAnsi="Aptos" w:eastAsia="Microsoft YaHei" w:cs="Aptos"/>
          <w:b/>
          <w:bCs/>
          <w:color w:val="000000"/>
          <w:sz w:val="28"/>
          <w:szCs w:val="28"/>
        </w:rPr>
        <w:t>3. Background and Domain Foundations</w:t>
      </w:r>
    </w:p>
    <w:p w14:paraId="1416B7F6">
      <w:pPr>
        <w:keepNext/>
        <w:spacing w:before="180" w:after="80" w:line="286" w:lineRule="auto"/>
      </w:pPr>
      <w:r>
        <w:rPr>
          <w:rFonts w:ascii="Aptos" w:hAnsi="Aptos" w:eastAsia="Microsoft YaHei" w:cs="Aptos"/>
          <w:b/>
          <w:bCs/>
          <w:color w:val="000000"/>
          <w:sz w:val="24"/>
          <w:szCs w:val="24"/>
        </w:rPr>
        <w:t>3.1 Regulatory Principles and Applicability</w:t>
      </w:r>
    </w:p>
    <w:p w14:paraId="4249439B">
      <w:pPr>
        <w:spacing w:before="0" w:after="95" w:line="276" w:lineRule="auto"/>
      </w:pPr>
      <w:r>
        <w:rPr>
          <w:rFonts w:ascii="Aptos" w:hAnsi="Aptos" w:eastAsia="Microsoft YaHei" w:cs="Aptos"/>
          <w:color w:val="000000"/>
          <w:sz w:val="21"/>
          <w:szCs w:val="21"/>
        </w:rPr>
        <w:t>Sources include WHO TRS 961 Annex 9, EU GDP 2013/C 343/01, ICH stability and quality-risk guidance, and public CDC/WHO procedures. Acceptable excursion windows for an individual product still require applicable stability evidence. WHO (https://www.who.int/publications/m/item/trs961-annex9-modelguidanceforstoragetransport), EU GDP (https://eur-lex.europa.eu/legal-content/EN/TXT/?uri=CELEX%3A32013C0343), ICH (https://www.ich.org/page/quality-guidelines)</w:t>
      </w:r>
    </w:p>
    <w:p w14:paraId="19B64AD6">
      <w:pPr>
        <w:spacing w:before="0" w:after="95" w:line="276" w:lineRule="auto"/>
      </w:pPr>
      <w:r>
        <w:rPr>
          <w:rFonts w:ascii="Aptos" w:hAnsi="Aptos" w:eastAsia="Microsoft YaHei" w:cs="Aptos"/>
          <w:color w:val="000000"/>
          <w:sz w:val="21"/>
          <w:szCs w:val="21"/>
        </w:rPr>
        <w:t>The project distinguishes public domain principles, product stability evidence and engineering assumptions. Configuration records sources and limitations, but allowable durations, MKT ceilings, some retest settings and rule multipliers include engineering assumptions. These are not universal numerical limits prescribed by regulation. Linking a regulatory node does not validate a particular product threshold.</w:t>
      </w:r>
    </w:p>
    <w:p w14:paraId="04FEBF9D">
      <w:pPr>
        <w:spacing w:before="0" w:after="95" w:line="276" w:lineRule="auto"/>
      </w:pPr>
      <w:r>
        <w:rPr>
          <w:rFonts w:ascii="Aptos" w:hAnsi="Aptos" w:eastAsia="Microsoft YaHei" w:cs="Aptos"/>
          <w:color w:val="000000"/>
          <w:sz w:val="21"/>
          <w:szCs w:val="21"/>
        </w:rPr>
        <w:t>CDC excursion guidance calls for holding affected vaccines from use and seeking advice from the immunisation programme or manufacturer. Prototype outputs are recommendations for quality review, not authorisation to release or destroy actual products using demonstration thresholds. CDC storage and handling guidance (https://www.cdc.gov/pinkbook/hcp/table-of-contents/chapter-5-vaccine-storage-and-handling.html)</w:t>
      </w:r>
    </w:p>
    <w:p w14:paraId="69F3C6FD">
      <w:pPr>
        <w:keepNext/>
        <w:spacing w:before="180" w:after="80" w:line="286" w:lineRule="auto"/>
      </w:pPr>
      <w:r>
        <w:rPr>
          <w:rFonts w:ascii="Aptos" w:hAnsi="Aptos" w:eastAsia="Microsoft YaHei" w:cs="Aptos"/>
          <w:b/>
          <w:bCs/>
          <w:color w:val="000000"/>
          <w:sz w:val="24"/>
          <w:szCs w:val="24"/>
        </w:rPr>
        <w:t>3.2 Related Work and Method Selection</w:t>
      </w:r>
    </w:p>
    <w:p w14:paraId="24AD4580">
      <w:pPr>
        <w:spacing w:before="0" w:after="95" w:line="276" w:lineRule="auto"/>
      </w:pPr>
      <w:r>
        <w:rPr>
          <w:rFonts w:ascii="Aptos" w:hAnsi="Aptos" w:eastAsia="Microsoft YaHei" w:cs="Aptos"/>
          <w:color w:val="000000"/>
          <w:sz w:val="21"/>
          <w:szCs w:val="21"/>
        </w:rPr>
        <w:t>Solomon's VRPTW benchmark supplies standard routing problems with capacity and time-window constraints. The project compares algorithms on six instances and uses Singapore road matrices for the geographic demonstration. OR-Tools Routing Solver provides route construction and local search; the implementation uses time-bounded Guided Local Search. Solomon, 1987 (https://doi.org/10.1287/opre.35.2.254), OR-Tools (https://developers.google.com/optimization/routing/routing_options)</w:t>
      </w:r>
    </w:p>
    <w:p w14:paraId="5C8EF54B">
      <w:pPr>
        <w:spacing w:before="0" w:after="95" w:line="276" w:lineRule="auto"/>
      </w:pPr>
      <w:r>
        <w:rPr>
          <w:rFonts w:ascii="Aptos" w:hAnsi="Aptos" w:eastAsia="Microsoft YaHei" w:cs="Aptos"/>
          <w:color w:val="000000"/>
          <w:sz w:val="21"/>
          <w:szCs w:val="21"/>
        </w:rPr>
        <w:t>Risk experiments compare logistic regression, LightGBM and XGBoost, with SHAP explaining dependence on tabular features. The cognitive component uses structured graph queries over stored cases, rules and evidence. Original method papers are listed in §14. Feature attribution and cause-label classification on observational data do not establish causality.</w:t>
      </w:r>
    </w:p>
    <w:p w14:paraId="19321CC0">
      <w:pPr>
        <w:spacing w:before="0" w:after="95" w:line="276" w:lineRule="auto"/>
      </w:pPr>
      <w:r>
        <w:rPr>
          <w:rFonts w:ascii="Aptos" w:hAnsi="Aptos" w:eastAsia="Microsoft YaHei" w:cs="Aptos"/>
          <w:color w:val="000000"/>
          <w:sz w:val="21"/>
          <w:szCs w:val="21"/>
        </w:rPr>
        <w:t>The contribution is integration and reproducible evaluation in a controlled workflow, without claiming a new foundational algorithm or the first cold-chain use of these techniques.</w:t>
      </w:r>
    </w:p>
    <w:p w14:paraId="175C56AD">
      <w:pPr>
        <w:keepNext/>
        <w:spacing w:before="180" w:after="80" w:line="286" w:lineRule="auto"/>
      </w:pPr>
      <w:r>
        <w:rPr>
          <w:rFonts w:ascii="Aptos" w:hAnsi="Aptos" w:eastAsia="Microsoft YaHei" w:cs="Aptos"/>
          <w:b/>
          <w:bCs/>
          <w:color w:val="000000"/>
          <w:sz w:val="24"/>
          <w:szCs w:val="24"/>
        </w:rPr>
        <w:t>3.3 Market Context and Positioning</w:t>
      </w:r>
    </w:p>
    <w:p w14:paraId="6C1A599B">
      <w:pPr>
        <w:spacing w:before="0" w:after="95" w:line="276" w:lineRule="auto"/>
      </w:pPr>
      <w:r>
        <w:rPr>
          <w:rFonts w:ascii="Aptos" w:hAnsi="Aptos" w:eastAsia="Microsoft YaHei" w:cs="Aptos"/>
          <w:color w:val="000000"/>
          <w:sz w:val="21"/>
          <w:szCs w:val="21"/>
        </w:rPr>
        <w:t>Commercial products already cover monitoring, shipment visibility and some quality-process automation. For example, Controlant describes Product Stability Automation that determines release status from product stability profiles. It is therefore inaccurate to describe existing vendors collectively as alert-only systems without disposition capabilities. Controlant applications (https://www.controlant.com/applications)</w:t>
      </w:r>
    </w:p>
    <w:p w14:paraId="6AA54843">
      <w:pPr>
        <w:spacing w:before="0" w:after="95" w:line="276" w:lineRule="auto"/>
      </w:pPr>
      <w:r>
        <w:rPr>
          <w:rFonts w:ascii="Aptos" w:hAnsi="Aptos" w:eastAsia="Microsoft YaHei" w:cs="Aptos"/>
          <w:color w:val="000000"/>
          <w:sz w:val="21"/>
          <w:szCs w:val="21"/>
        </w:rPr>
        <w:t>PharmaColdOps is positioned as a teaching and research prototype with inspectable rules, reproducible experiments and demonstrable delivery integration. Comparison dimensions include rule transparency, evidence tracing, routing interfaces and deployment scope. Unverified competitor capabilities remain unknown; missing public documentation is not evidence of absence. Market value still needs user interviews and operational validation.</w:t>
      </w:r>
    </w:p>
    <w:p w14:paraId="042A422B">
      <w:pPr>
        <w:spacing w:before="120" w:after="90" w:line="276" w:lineRule="auto"/>
        <w:jc w:val="center"/>
      </w:pPr>
      <w:r>
        <w:drawing>
          <wp:inline distT="0" distB="0" distL="0" distR="0">
            <wp:extent cx="5667375" cy="3190875"/>
            <wp:effectExtent l="0" t="0" r="0" b="0"/>
            <wp:docPr id="100000" name="Picture 100000" descr="Figure 1 Capability and scop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Figure 1 Capability and scope comparison"/>
                    <pic:cNvPicPr/>
                  </pic:nvPicPr>
                  <pic:blipFill>
                    <a:blip r:embed="rId18"/>
                    <a:stretch>
                      <a:fillRect/>
                    </a:stretch>
                  </pic:blipFill>
                  <pic:spPr>
                    <a:xfrm>
                      <a:off x="0" y="0"/>
                      <a:ext cx="5667375" cy="3190875"/>
                    </a:xfrm>
                    <a:prstGeom prst="rect">
                      <a:avLst/>
                    </a:prstGeom>
                  </pic:spPr>
                </pic:pic>
              </a:graphicData>
            </a:graphic>
          </wp:inline>
        </w:drawing>
      </w:r>
    </w:p>
    <w:p w14:paraId="521ED27E">
      <w:pPr>
        <w:spacing w:before="0" w:after="95" w:line="276" w:lineRule="auto"/>
      </w:pPr>
      <w:r>
        <w:rPr>
          <w:rFonts w:ascii="Aptos" w:hAnsi="Aptos" w:eastAsia="Microsoft YaHei" w:cs="Aptos"/>
          <w:b/>
          <w:bCs/>
          <w:color w:val="000000"/>
          <w:sz w:val="21"/>
          <w:szCs w:val="21"/>
        </w:rPr>
        <w:t>Figure 1:</w:t>
      </w:r>
      <w:r>
        <w:rPr>
          <w:rFonts w:ascii="Aptos" w:hAnsi="Aptos" w:eastAsia="Microsoft YaHei" w:cs="Aptos"/>
          <w:color w:val="000000"/>
          <w:sz w:val="21"/>
          <w:szCs w:val="21"/>
        </w:rPr>
        <w:t xml:space="preserve"> Cold-chain decision-support capabilities and project scope, not a vendor performance ranking.</w:t>
      </w:r>
    </w:p>
    <w:p w14:paraId="0A0CD178">
      <w:pPr>
        <w:keepNext/>
        <w:spacing w:before="260" w:after="100" w:line="300" w:lineRule="auto"/>
      </w:pPr>
      <w:r>
        <w:rPr>
          <w:rFonts w:ascii="Aptos" w:hAnsi="Aptos" w:eastAsia="Microsoft YaHei" w:cs="Aptos"/>
          <w:b/>
          <w:bCs/>
          <w:color w:val="000000"/>
          <w:sz w:val="28"/>
          <w:szCs w:val="28"/>
        </w:rPr>
        <w:t>4. Stakeholders and Intended Value</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3120"/>
        <w:gridCol w:w="3120"/>
        <w:gridCol w:w="3120"/>
      </w:tblGrid>
      <w:tr>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5E7B956A">
            <w:pPr>
              <w:spacing w:before="0" w:after="60" w:line="250" w:lineRule="auto"/>
            </w:pPr>
            <w:r>
              <w:rPr>
                <w:rFonts w:ascii="Aptos" w:hAnsi="Aptos" w:eastAsia="Microsoft YaHei" w:cs="Aptos"/>
                <w:b/>
                <w:bCs/>
                <w:color w:val="FFFFFF"/>
                <w:sz w:val="19"/>
                <w:szCs w:val="19"/>
              </w:rPr>
              <w:t>User</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6133735D">
            <w:pPr>
              <w:spacing w:before="0" w:after="60" w:line="250" w:lineRule="auto"/>
            </w:pPr>
            <w:r>
              <w:rPr>
                <w:rFonts w:ascii="Aptos" w:hAnsi="Aptos" w:eastAsia="Microsoft YaHei" w:cs="Aptos"/>
                <w:b/>
                <w:bCs/>
                <w:color w:val="FFFFFF"/>
                <w:sz w:val="19"/>
                <w:szCs w:val="19"/>
              </w:rPr>
              <w:t>Work requirement</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62B08ABF">
            <w:pPr>
              <w:spacing w:before="0" w:after="60" w:line="250" w:lineRule="auto"/>
            </w:pPr>
            <w:r>
              <w:rPr>
                <w:rFonts w:ascii="Aptos" w:hAnsi="Aptos" w:eastAsia="Microsoft YaHei" w:cs="Aptos"/>
                <w:b/>
                <w:bCs/>
                <w:color w:val="FFFFFF"/>
                <w:sz w:val="19"/>
                <w:szCs w:val="19"/>
              </w:rPr>
              <w:t>Prototype support</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F851003">
            <w:pPr>
              <w:spacing w:before="0" w:after="60" w:line="250" w:lineRule="auto"/>
            </w:pPr>
            <w:r>
              <w:rPr>
                <w:rFonts w:ascii="Aptos" w:hAnsi="Aptos" w:eastAsia="Microsoft YaHei" w:cs="Aptos"/>
                <w:color w:val="000000"/>
                <w:sz w:val="19"/>
                <w:szCs w:val="19"/>
              </w:rPr>
              <w:t>Quality lead</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DC3A1BD">
            <w:pPr>
              <w:spacing w:before="0" w:after="60" w:line="250" w:lineRule="auto"/>
            </w:pPr>
            <w:r>
              <w:rPr>
                <w:rFonts w:ascii="Aptos" w:hAnsi="Aptos" w:eastAsia="Microsoft YaHei" w:cs="Aptos"/>
                <w:color w:val="000000"/>
                <w:sz w:val="19"/>
                <w:szCs w:val="19"/>
              </w:rPr>
              <w:t>Review excursions and disposition evidence</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D85FA6">
            <w:pPr>
              <w:spacing w:before="0" w:after="60" w:line="250" w:lineRule="auto"/>
            </w:pPr>
            <w:r>
              <w:rPr>
                <w:rFonts w:ascii="Aptos" w:hAnsi="Aptos" w:eastAsia="Microsoft YaHei" w:cs="Aptos"/>
                <w:color w:val="000000"/>
                <w:sz w:val="19"/>
                <w:szCs w:val="19"/>
              </w:rPr>
              <w:t>Input snapshots, rule paths, evidence sources and limitations</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4A4B14E">
            <w:pPr>
              <w:spacing w:before="0" w:after="60" w:line="250" w:lineRule="auto"/>
            </w:pPr>
            <w:r>
              <w:rPr>
                <w:rFonts w:ascii="Aptos" w:hAnsi="Aptos" w:eastAsia="Microsoft YaHei" w:cs="Aptos"/>
                <w:color w:val="000000"/>
                <w:sz w:val="19"/>
                <w:szCs w:val="19"/>
              </w:rPr>
              <w:t>Dispatcher</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A7804E1">
            <w:pPr>
              <w:spacing w:before="0" w:after="60" w:line="250" w:lineRule="auto"/>
            </w:pPr>
            <w:r>
              <w:rPr>
                <w:rFonts w:ascii="Aptos" w:hAnsi="Aptos" w:eastAsia="Microsoft YaHei" w:cs="Aptos"/>
                <w:color w:val="000000"/>
                <w:sz w:val="19"/>
                <w:szCs w:val="19"/>
              </w:rPr>
              <w:t>Plan deliveries following replacement demand</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62E04BAB">
            <w:pPr>
              <w:spacing w:before="0" w:after="60" w:line="250" w:lineRule="auto"/>
            </w:pPr>
            <w:r>
              <w:rPr>
                <w:rFonts w:ascii="Aptos" w:hAnsi="Aptos" w:eastAsia="Microsoft YaHei" w:cs="Aptos"/>
                <w:color w:val="000000"/>
                <w:sz w:val="19"/>
                <w:szCs w:val="19"/>
              </w:rPr>
              <w:t>Candidate routes under capacity and time-window constraints</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F9BED30">
            <w:pPr>
              <w:spacing w:before="0" w:after="60" w:line="250" w:lineRule="auto"/>
            </w:pPr>
            <w:r>
              <w:rPr>
                <w:rFonts w:ascii="Aptos" w:hAnsi="Aptos" w:eastAsia="Microsoft YaHei" w:cs="Aptos"/>
                <w:color w:val="000000"/>
                <w:sz w:val="19"/>
                <w:szCs w:val="19"/>
              </w:rPr>
              <w:t>Warehouse and transport manager</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789DF9">
            <w:pPr>
              <w:spacing w:before="0" w:after="60" w:line="250" w:lineRule="auto"/>
            </w:pPr>
            <w:r>
              <w:rPr>
                <w:rFonts w:ascii="Aptos" w:hAnsi="Aptos" w:eastAsia="Microsoft YaHei" w:cs="Aptos"/>
                <w:color w:val="000000"/>
                <w:sz w:val="19"/>
                <w:szCs w:val="19"/>
              </w:rPr>
              <w:t>Investigate factors associated with exceptions</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A7F80F4">
            <w:pPr>
              <w:spacing w:before="0" w:after="60" w:line="250" w:lineRule="auto"/>
            </w:pPr>
            <w:r>
              <w:rPr>
                <w:rFonts w:ascii="Aptos" w:hAnsi="Aptos" w:eastAsia="Microsoft YaHei" w:cs="Aptos"/>
                <w:color w:val="000000"/>
                <w:sz w:val="19"/>
                <w:szCs w:val="19"/>
              </w:rPr>
              <w:t>Offline risk analysis and candidate causes</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E163B87">
            <w:pPr>
              <w:spacing w:before="0" w:after="60" w:line="250" w:lineRule="auto"/>
            </w:pPr>
            <w:r>
              <w:rPr>
                <w:rFonts w:ascii="Aptos" w:hAnsi="Aptos" w:eastAsia="Microsoft YaHei" w:cs="Aptos"/>
                <w:color w:val="000000"/>
                <w:sz w:val="19"/>
                <w:szCs w:val="19"/>
              </w:rPr>
              <w:t>Auditor</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EFB9B38">
            <w:pPr>
              <w:spacing w:before="0" w:after="60" w:line="250" w:lineRule="auto"/>
            </w:pPr>
            <w:r>
              <w:rPr>
                <w:rFonts w:ascii="Aptos" w:hAnsi="Aptos" w:eastAsia="Microsoft YaHei" w:cs="Aptos"/>
                <w:color w:val="000000"/>
                <w:sz w:val="19"/>
                <w:szCs w:val="19"/>
              </w:rPr>
              <w:t>Reconstruct an assessment</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5CE336D">
            <w:pPr>
              <w:spacing w:before="0" w:after="60" w:line="250" w:lineRule="auto"/>
            </w:pPr>
            <w:r>
              <w:rPr>
                <w:rFonts w:ascii="Aptos" w:hAnsi="Aptos" w:eastAsia="Microsoft YaHei" w:cs="Aptos"/>
                <w:color w:val="000000"/>
                <w:sz w:val="19"/>
                <w:szCs w:val="19"/>
              </w:rPr>
              <w:t>Case records, linked identifiers and evidence queries</w:t>
            </w:r>
          </w:p>
        </w:tc>
      </w:tr>
    </w:tbl>
    <w:p w14:paraId="22A424B7">
      <w:pPr>
        <w:spacing w:before="0" w:after="95" w:line="276" w:lineRule="auto"/>
      </w:pPr>
      <w:r>
        <w:rPr>
          <w:rFonts w:ascii="Aptos" w:hAnsi="Aptos" w:eastAsia="Microsoft YaHei" w:cs="Aptos"/>
          <w:color w:val="000000"/>
          <w:sz w:val="21"/>
          <w:szCs w:val="21"/>
        </w:rPr>
        <w:t>People retain responsibility for final approval and delivery execution. The project collects no patient data and evaluates no clinical outcomes.</w:t>
      </w:r>
    </w:p>
    <w:p w14:paraId="54EB798F">
      <w:pPr>
        <w:keepNext/>
        <w:spacing w:before="260" w:after="100" w:line="300" w:lineRule="auto"/>
      </w:pPr>
      <w:r>
        <w:rPr>
          <w:rFonts w:ascii="Aptos" w:hAnsi="Aptos" w:eastAsia="Microsoft YaHei" w:cs="Aptos"/>
          <w:b/>
          <w:bCs/>
          <w:color w:val="000000"/>
          <w:sz w:val="28"/>
          <w:szCs w:val="28"/>
        </w:rPr>
        <w:t>5. Overall System Design</w:t>
      </w:r>
    </w:p>
    <w:p w14:paraId="59095561">
      <w:pPr>
        <w:keepNext/>
        <w:spacing w:before="180" w:after="80" w:line="286" w:lineRule="auto"/>
      </w:pPr>
      <w:r>
        <w:rPr>
          <w:rFonts w:ascii="Aptos" w:hAnsi="Aptos" w:eastAsia="Microsoft YaHei" w:cs="Aptos"/>
          <w:b/>
          <w:bCs/>
          <w:color w:val="000000"/>
          <w:sz w:val="24"/>
          <w:szCs w:val="24"/>
        </w:rPr>
        <w:t>5.1 Target Workflow</w:t>
      </w:r>
    </w:p>
    <w:p w14:paraId="208E7167">
      <w:pPr>
        <w:spacing w:before="0" w:after="65" w:line="276" w:lineRule="auto"/>
        <w:ind w:left="420" w:hanging="260"/>
      </w:pPr>
      <w:r>
        <w:rPr>
          <w:rFonts w:ascii="Aptos" w:hAnsi="Aptos" w:eastAsia="Microsoft YaHei" w:cs="Aptos"/>
          <w:color w:val="000000"/>
          <w:sz w:val="21"/>
          <w:szCs w:val="21"/>
        </w:rPr>
        <w:t>1. Enter an event with a known product category. Current inputs are forms or demonstration data; sequence parsing is a subsequent data task.</w:t>
      </w:r>
    </w:p>
    <w:p w14:paraId="1801F7DC">
      <w:pPr>
        <w:spacing w:before="0" w:after="65" w:line="276" w:lineRule="auto"/>
        <w:ind w:left="420" w:hanging="260"/>
      </w:pPr>
      <w:r>
        <w:rPr>
          <w:rFonts w:ascii="Aptos" w:hAnsi="Aptos" w:eastAsia="Microsoft YaHei" w:cs="Aptos"/>
          <w:color w:val="000000"/>
          <w:sz w:val="21"/>
          <w:szCs w:val="21"/>
        </w:rPr>
        <w:t>2. Return one of four dispositions, a reshipment flag, rule number, reason and evidence states.</w:t>
      </w:r>
    </w:p>
    <w:p w14:paraId="5D2BF6D3">
      <w:pPr>
        <w:spacing w:before="0" w:after="65" w:line="276" w:lineRule="auto"/>
        <w:ind w:left="420" w:hanging="260"/>
      </w:pPr>
      <w:r>
        <w:rPr>
          <w:rFonts w:ascii="Aptos" w:hAnsi="Aptos" w:eastAsia="Microsoft YaHei" w:cs="Aptos"/>
          <w:color w:val="000000"/>
          <w:sz w:val="21"/>
          <w:szCs w:val="21"/>
        </w:rPr>
        <w:t>3. Have quality staff review the recommendation. Current closure stores inputs and the system recommendation; fields for final human decisions and approvers remain to be designed, while dispatch run state separately records acceptance, departure and per-order delivery.</w:t>
      </w:r>
    </w:p>
    <w:p w14:paraId="0613918A">
      <w:pPr>
        <w:spacing w:before="0" w:after="65" w:line="276" w:lineRule="auto"/>
        <w:ind w:left="420" w:hanging="260"/>
      </w:pPr>
      <w:r>
        <w:rPr>
          <w:rFonts w:ascii="Aptos" w:hAnsi="Aptos" w:eastAsia="Microsoft YaHei" w:cs="Aptos"/>
          <w:color w:val="000000"/>
          <w:sz w:val="21"/>
          <w:szCs w:val="21"/>
        </w:rPr>
        <w:t>4. For replacement cases, submit a simulated order with destination, quantity and time window under the agreed contract and solve it with the single-depot solver. The contract, solver and run persistence are implemented and tested; the frontend has no dispatch screen yet.</w:t>
      </w:r>
    </w:p>
    <w:p w14:paraId="40A96DB0">
      <w:pPr>
        <w:spacing w:before="0" w:after="65" w:line="276" w:lineRule="auto"/>
        <w:ind w:left="420" w:hanging="260"/>
      </w:pPr>
      <w:r>
        <w:rPr>
          <w:rFonts w:ascii="Aptos" w:hAnsi="Aptos" w:eastAsia="Microsoft YaHei" w:cs="Aptos"/>
          <w:color w:val="000000"/>
          <w:sz w:val="21"/>
          <w:szCs w:val="21"/>
        </w:rPr>
        <w:t>5. Link the case and route, display stops, distance, schedules and unserved orders, and query case-specific graph evidence. Archived reshipment cases already fetch live routes and case-specific graph answers; a screen for choosing destinations and quantities remains to be built.</w:t>
      </w:r>
    </w:p>
    <w:p w14:paraId="25510515">
      <w:pPr>
        <w:spacing w:before="0" w:after="95" w:line="276" w:lineRule="auto"/>
      </w:pPr>
      <w:r>
        <w:rPr>
          <w:rFonts w:ascii="Aptos" w:hAnsi="Aptos" w:eastAsia="Microsoft YaHei" w:cs="Aptos"/>
          <w:color w:val="000000"/>
          <w:sz w:val="21"/>
          <w:szCs w:val="21"/>
        </w:rPr>
        <w:t>Archiving a case does not establish its real-world outcome. Automatic feedback learning is outside the MVP.</w:t>
      </w:r>
    </w:p>
    <w:p w14:paraId="0CC63010">
      <w:pPr>
        <w:keepNext/>
        <w:spacing w:before="180" w:after="80" w:line="286" w:lineRule="auto"/>
      </w:pPr>
      <w:r>
        <w:rPr>
          <w:rFonts w:ascii="Aptos" w:hAnsi="Aptos" w:eastAsia="Microsoft YaHei" w:cs="Aptos"/>
          <w:b/>
          <w:bCs/>
          <w:color w:val="000000"/>
          <w:sz w:val="24"/>
          <w:szCs w:val="24"/>
        </w:rPr>
        <w:t>5.2 Current Progress</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3120"/>
        <w:gridCol w:w="3120"/>
        <w:gridCol w:w="3120"/>
      </w:tblGrid>
      <w:tr>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2DE45771">
            <w:pPr>
              <w:spacing w:before="0" w:after="60" w:line="250" w:lineRule="auto"/>
            </w:pPr>
            <w:r>
              <w:rPr>
                <w:rFonts w:ascii="Aptos" w:hAnsi="Aptos" w:eastAsia="Microsoft YaHei" w:cs="Aptos"/>
                <w:b/>
                <w:bCs/>
                <w:color w:val="FFFFFF"/>
                <w:sz w:val="19"/>
                <w:szCs w:val="19"/>
              </w:rPr>
              <w:t>Module</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0FDA39DA">
            <w:pPr>
              <w:spacing w:before="0" w:after="60" w:line="250" w:lineRule="auto"/>
            </w:pPr>
            <w:r>
              <w:rPr>
                <w:rFonts w:ascii="Aptos" w:hAnsi="Aptos" w:eastAsia="Microsoft YaHei" w:cs="Aptos"/>
                <w:b/>
                <w:bCs/>
                <w:color w:val="FFFFFF"/>
                <w:sz w:val="19"/>
                <w:szCs w:val="19"/>
              </w:rPr>
              <w:t>Status as of 2026-09-13</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57384214">
            <w:pPr>
              <w:spacing w:before="0" w:after="60" w:line="250" w:lineRule="auto"/>
            </w:pPr>
            <w:r>
              <w:rPr>
                <w:rFonts w:ascii="Aptos" w:hAnsi="Aptos" w:eastAsia="Microsoft YaHei" w:cs="Aptos"/>
                <w:b/>
                <w:bCs/>
                <w:color w:val="FFFFFF"/>
                <w:sz w:val="19"/>
                <w:szCs w:val="19"/>
              </w:rPr>
              <w:t>Remaining work</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6BBFFE2">
            <w:pPr>
              <w:spacing w:before="0" w:after="60" w:line="250" w:lineRule="auto"/>
            </w:pPr>
            <w:r>
              <w:rPr>
                <w:rFonts w:ascii="Aptos" w:hAnsi="Aptos" w:eastAsia="Microsoft YaHei" w:cs="Aptos"/>
                <w:color w:val="000000"/>
                <w:sz w:val="19"/>
                <w:szCs w:val="19"/>
              </w:rPr>
              <w:t>M1 Data preparation</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E9318F4">
            <w:pPr>
              <w:spacing w:before="0" w:after="60" w:line="250" w:lineRule="auto"/>
            </w:pPr>
            <w:r>
              <w:rPr>
                <w:rFonts w:ascii="Aptos" w:hAnsi="Aptos" w:eastAsia="Microsoft YaHei" w:cs="Aptos"/>
                <w:color w:val="000000"/>
                <w:sz w:val="19"/>
                <w:szCs w:val="19"/>
              </w:rPr>
              <w:t>Data, dictionary, licence checks and audit scripts available</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91321C">
            <w:pPr>
              <w:spacing w:before="0" w:after="60" w:line="250" w:lineRule="auto"/>
            </w:pPr>
            <w:r>
              <w:rPr>
                <w:rFonts w:ascii="Aptos" w:hAnsi="Aptos" w:eastAsia="Microsoft YaHei" w:cs="Aptos"/>
                <w:color w:val="000000"/>
                <w:sz w:val="19"/>
                <w:szCs w:val="19"/>
              </w:rPr>
              <w:t>Task definitions and reproducible environment</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7744FDF">
            <w:pPr>
              <w:spacing w:before="0" w:after="60" w:line="250" w:lineRule="auto"/>
            </w:pPr>
            <w:r>
              <w:rPr>
                <w:rFonts w:ascii="Aptos" w:hAnsi="Aptos" w:eastAsia="Microsoft YaHei" w:cs="Aptos"/>
                <w:color w:val="000000"/>
                <w:sz w:val="19"/>
                <w:szCs w:val="19"/>
              </w:rPr>
              <w:t>M2 Event generation</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C19FF0A">
            <w:pPr>
              <w:spacing w:before="0" w:after="60" w:line="250" w:lineRule="auto"/>
            </w:pPr>
            <w:r>
              <w:rPr>
                <w:rFonts w:ascii="Aptos" w:hAnsi="Aptos" w:eastAsia="Microsoft YaHei" w:cs="Aptos"/>
                <w:color w:val="000000"/>
                <w:sz w:val="19"/>
                <w:szCs w:val="19"/>
              </w:rPr>
              <w:t>Demo export available with single-reading MKT approximation</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8815F47">
            <w:pPr>
              <w:spacing w:before="0" w:after="60" w:line="250" w:lineRule="auto"/>
            </w:pPr>
            <w:r>
              <w:rPr>
                <w:rFonts w:ascii="Aptos" w:hAnsi="Aptos" w:eastAsia="Microsoft YaHei" w:cs="Aptos"/>
                <w:color w:val="000000"/>
                <w:sz w:val="19"/>
                <w:szCs w:val="19"/>
              </w:rPr>
              <w:t>Sequence windows, MKT implementation and validation</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0ECAEF4">
            <w:pPr>
              <w:spacing w:before="0" w:after="60" w:line="250" w:lineRule="auto"/>
            </w:pPr>
            <w:r>
              <w:rPr>
                <w:rFonts w:ascii="Aptos" w:hAnsi="Aptos" w:eastAsia="Microsoft YaHei" w:cs="Aptos"/>
                <w:color w:val="000000"/>
                <w:sz w:val="19"/>
                <w:szCs w:val="19"/>
              </w:rPr>
              <w:t>M3 Rule engine</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B7663E5">
            <w:pPr>
              <w:spacing w:before="0" w:after="60" w:line="250" w:lineRule="auto"/>
            </w:pPr>
            <w:r>
              <w:rPr>
                <w:rFonts w:ascii="Aptos" w:hAnsi="Aptos" w:eastAsia="Microsoft YaHei" w:cs="Aptos"/>
                <w:color w:val="000000"/>
                <w:sz w:val="19"/>
                <w:szCs w:val="19"/>
              </w:rPr>
              <w:t>Four category prototypes, six rules, API, human gold for 57 cases</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F87B235">
            <w:pPr>
              <w:spacing w:before="0" w:after="60" w:line="250" w:lineRule="auto"/>
            </w:pPr>
            <w:r>
              <w:rPr>
                <w:rFonts w:ascii="Aptos" w:hAnsi="Aptos" w:eastAsia="Microsoft YaHei" w:cs="Aptos"/>
                <w:color w:val="000000"/>
                <w:sz w:val="19"/>
                <w:szCs w:val="19"/>
              </w:rPr>
              <w:t>Domain review, disagreement analysis and formal evaluation</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7F0B697">
            <w:pPr>
              <w:spacing w:before="0" w:after="60" w:line="250" w:lineRule="auto"/>
            </w:pPr>
            <w:r>
              <w:rPr>
                <w:rFonts w:ascii="Aptos" w:hAnsi="Aptos" w:eastAsia="Microsoft YaHei" w:cs="Aptos"/>
                <w:color w:val="000000"/>
                <w:sz w:val="19"/>
                <w:szCs w:val="19"/>
              </w:rPr>
              <w:t>M4 Risk and causes</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8096E40">
            <w:pPr>
              <w:spacing w:before="0" w:after="60" w:line="250" w:lineRule="auto"/>
            </w:pPr>
            <w:r>
              <w:rPr>
                <w:rFonts w:ascii="Aptos" w:hAnsi="Aptos" w:eastAsia="Microsoft YaHei" w:cs="Aptos"/>
                <w:color w:val="000000"/>
                <w:sz w:val="19"/>
                <w:szCs w:val="19"/>
              </w:rPr>
              <w:t>LR/LGBM/XGB, SHAP and ten-class cause experiment available</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FF768DF">
            <w:pPr>
              <w:spacing w:before="0" w:after="60" w:line="250" w:lineRule="auto"/>
            </w:pPr>
            <w:r>
              <w:rPr>
                <w:rFonts w:ascii="Aptos" w:hAnsi="Aptos" w:eastAsia="Microsoft YaHei" w:cs="Aptos"/>
                <w:color w:val="000000"/>
                <w:sz w:val="19"/>
                <w:szCs w:val="19"/>
              </w:rPr>
              <w:t>Multi-fold evaluation, feature availability and failure analysis</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66E0E84">
            <w:pPr>
              <w:spacing w:before="0" w:after="60" w:line="250" w:lineRule="auto"/>
            </w:pPr>
            <w:r>
              <w:rPr>
                <w:rFonts w:ascii="Aptos" w:hAnsi="Aptos" w:eastAsia="Microsoft YaHei" w:cs="Aptos"/>
                <w:color w:val="000000"/>
                <w:sz w:val="19"/>
                <w:szCs w:val="19"/>
              </w:rPr>
              <w:t>M5 Routing</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BF942EC">
            <w:pPr>
              <w:spacing w:before="0" w:after="60" w:line="250" w:lineRule="auto"/>
            </w:pPr>
            <w:r>
              <w:rPr>
                <w:rFonts w:ascii="Aptos" w:hAnsi="Aptos" w:eastAsia="Microsoft YaHei" w:cs="Aptos"/>
                <w:color w:val="000000"/>
                <w:sz w:val="19"/>
                <w:szCs w:val="19"/>
              </w:rPr>
              <w:t>Greedy solver, Routing Solver, real road network, reshipment/dispatch solving and run persistence available</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1DCDDF7">
            <w:pPr>
              <w:spacing w:before="0" w:after="60" w:line="250" w:lineRule="auto"/>
            </w:pPr>
            <w:r>
              <w:rPr>
                <w:rFonts w:ascii="Aptos" w:hAnsi="Aptos" w:eastAsia="Microsoft YaHei" w:cs="Aptos"/>
                <w:color w:val="000000"/>
                <w:sz w:val="19"/>
                <w:szCs w:val="19"/>
              </w:rPr>
              <w:t>Order-driven dispatch screen and expanded destination pool</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7607764">
            <w:pPr>
              <w:spacing w:before="0" w:after="60" w:line="250" w:lineRule="auto"/>
            </w:pPr>
            <w:r>
              <w:rPr>
                <w:rFonts w:ascii="Aptos" w:hAnsi="Aptos" w:eastAsia="Microsoft YaHei" w:cs="Aptos"/>
                <w:color w:val="000000"/>
                <w:sz w:val="19"/>
                <w:szCs w:val="19"/>
              </w:rPr>
              <w:t>M6 Graph and QA</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BDE1854">
            <w:pPr>
              <w:spacing w:before="0" w:after="60" w:line="250" w:lineRule="auto"/>
            </w:pPr>
            <w:r>
              <w:rPr>
                <w:rFonts w:ascii="Aptos" w:hAnsi="Aptos" w:eastAsia="Microsoft YaHei" w:cs="Aptos"/>
                <w:color w:val="000000"/>
                <w:sz w:val="19"/>
                <w:szCs w:val="19"/>
              </w:rPr>
              <w:t>Schema, loading, closure writing, query functions, HTTP endpoints and frontend answers available</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F274759">
            <w:pPr>
              <w:spacing w:before="0" w:after="60" w:line="250" w:lineRule="auto"/>
            </w:pPr>
            <w:r>
              <w:rPr>
                <w:rFonts w:ascii="Aptos" w:hAnsi="Aptos" w:eastAsia="Microsoft YaHei" w:cs="Aptos"/>
                <w:color w:val="000000"/>
                <w:sz w:val="19"/>
                <w:szCs w:val="19"/>
              </w:rPr>
              <w:t>Evidence evaluation and relevance scoring</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B605AAE">
            <w:pPr>
              <w:spacing w:before="0" w:after="60" w:line="250" w:lineRule="auto"/>
            </w:pPr>
            <w:r>
              <w:rPr>
                <w:rFonts w:ascii="Aptos" w:hAnsi="Aptos" w:eastAsia="Microsoft YaHei" w:cs="Aptos"/>
                <w:color w:val="000000"/>
                <w:sz w:val="19"/>
                <w:szCs w:val="19"/>
              </w:rPr>
              <w:t>M7 Integration</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D87E3C1">
            <w:pPr>
              <w:spacing w:before="0" w:after="60" w:line="250" w:lineRule="auto"/>
            </w:pPr>
            <w:r>
              <w:rPr>
                <w:rFonts w:ascii="Aptos" w:hAnsi="Aptos" w:eastAsia="Microsoft YaHei" w:cs="Aptos"/>
                <w:color w:val="000000"/>
                <w:sz w:val="19"/>
                <w:szCs w:val="19"/>
              </w:rPr>
              <w:t>Bilingual Vue, offline/API modes and case history available</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4AE810C">
            <w:pPr>
              <w:spacing w:before="0" w:after="60" w:line="250" w:lineRule="auto"/>
            </w:pPr>
            <w:r>
              <w:rPr>
                <w:rFonts w:ascii="Aptos" w:hAnsi="Aptos" w:eastAsia="Microsoft YaHei" w:cs="Aptos"/>
                <w:color w:val="000000"/>
                <w:sz w:val="19"/>
                <w:szCs w:val="19"/>
              </w:rPr>
              <w:t>Integrated acceptance and failure-state checks</w:t>
            </w:r>
          </w:p>
        </w:tc>
      </w:tr>
    </w:tbl>
    <w:p w14:paraId="574F33C0">
      <w:pPr>
        <w:keepNext/>
        <w:spacing w:before="260" w:after="100" w:line="300" w:lineRule="auto"/>
      </w:pPr>
      <w:r>
        <w:rPr>
          <w:rFonts w:ascii="Aptos" w:hAnsi="Aptos" w:eastAsia="Microsoft YaHei" w:cs="Aptos"/>
          <w:b/>
          <w:bCs/>
          <w:color w:val="000000"/>
          <w:sz w:val="28"/>
          <w:szCs w:val="28"/>
        </w:rPr>
        <w:t>6. Technical Approach and IRS Mapping</w:t>
      </w:r>
    </w:p>
    <w:p w14:paraId="59E7C535">
      <w:pPr>
        <w:keepNext/>
        <w:spacing w:before="180" w:after="80" w:line="286" w:lineRule="auto"/>
      </w:pPr>
      <w:r>
        <w:rPr>
          <w:rFonts w:ascii="Aptos" w:hAnsi="Aptos" w:eastAsia="Microsoft YaHei" w:cs="Aptos"/>
          <w:b/>
          <w:bCs/>
          <w:color w:val="000000"/>
          <w:sz w:val="24"/>
          <w:szCs w:val="24"/>
        </w:rPr>
        <w:t>6.1 Technique Mapping</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4680"/>
        <w:gridCol w:w="4680"/>
      </w:tblGrid>
      <w:tr>
        <w:tc>
          <w:tcPr>
            <w:tcW w:w="468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0C76B0C4">
            <w:pPr>
              <w:spacing w:before="0" w:after="60" w:line="250" w:lineRule="auto"/>
            </w:pPr>
            <w:r>
              <w:rPr>
                <w:rFonts w:ascii="Aptos" w:hAnsi="Aptos" w:eastAsia="Microsoft YaHei" w:cs="Aptos"/>
                <w:b/>
                <w:bCs/>
                <w:color w:val="FFFFFF"/>
                <w:sz w:val="19"/>
                <w:szCs w:val="19"/>
              </w:rPr>
              <w:t>IRS technique group</w:t>
            </w:r>
          </w:p>
        </w:tc>
        <w:tc>
          <w:tcPr>
            <w:tcW w:w="468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128C103F">
            <w:pPr>
              <w:spacing w:before="0" w:after="60" w:line="250" w:lineRule="auto"/>
            </w:pPr>
            <w:r>
              <w:rPr>
                <w:rFonts w:ascii="Aptos" w:hAnsi="Aptos" w:eastAsia="Microsoft YaHei" w:cs="Aptos"/>
                <w:b/>
                <w:bCs/>
                <w:color w:val="FFFFFF"/>
                <w:sz w:val="19"/>
                <w:szCs w:val="19"/>
              </w:rPr>
              <w:t>Implementation and evaluation object</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18C23D6">
            <w:pPr>
              <w:spacing w:before="0" w:after="60" w:line="250" w:lineRule="auto"/>
            </w:pPr>
            <w:r>
              <w:rPr>
                <w:rFonts w:ascii="Aptos" w:hAnsi="Aptos" w:eastAsia="Microsoft YaHei" w:cs="Aptos"/>
                <w:color w:val="000000"/>
                <w:sz w:val="19"/>
                <w:szCs w:val="19"/>
              </w:rPr>
              <w:t>Decision automation</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BB8E78">
            <w:pPr>
              <w:spacing w:before="0" w:after="60" w:line="250" w:lineRule="auto"/>
            </w:pPr>
            <w:r>
              <w:rPr>
                <w:rFonts w:ascii="Aptos" w:hAnsi="Aptos" w:eastAsia="Microsoft YaHei" w:cs="Aptos"/>
                <w:color w:val="000000"/>
                <w:sz w:val="19"/>
                <w:szCs w:val="19"/>
              </w:rPr>
              <w:t>Deterministic priority rules, four dispositions and separate reshipment action</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89E55E0">
            <w:pPr>
              <w:spacing w:before="0" w:after="60" w:line="250" w:lineRule="auto"/>
            </w:pPr>
            <w:r>
              <w:rPr>
                <w:rFonts w:ascii="Aptos" w:hAnsi="Aptos" w:eastAsia="Microsoft YaHei" w:cs="Aptos"/>
                <w:color w:val="000000"/>
                <w:sz w:val="19"/>
                <w:szCs w:val="19"/>
              </w:rPr>
              <w:t>Resource optimisation</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3B62E4B">
            <w:pPr>
              <w:spacing w:before="0" w:after="60" w:line="250" w:lineRule="auto"/>
            </w:pPr>
            <w:r>
              <w:rPr>
                <w:rFonts w:ascii="Aptos" w:hAnsi="Aptos" w:eastAsia="Microsoft YaHei" w:cs="Aptos"/>
                <w:color w:val="000000"/>
                <w:sz w:val="19"/>
                <w:szCs w:val="19"/>
              </w:rPr>
              <w:t>Capacity-constrained VRPTW with greedy and OR-Tools Routing Solver</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9C7B7E0">
            <w:pPr>
              <w:spacing w:before="0" w:after="60" w:line="250" w:lineRule="auto"/>
            </w:pPr>
            <w:r>
              <w:rPr>
                <w:rFonts w:ascii="Aptos" w:hAnsi="Aptos" w:eastAsia="Microsoft YaHei" w:cs="Aptos"/>
                <w:color w:val="000000"/>
                <w:sz w:val="19"/>
                <w:szCs w:val="19"/>
              </w:rPr>
              <w:t>Knowledge discovery and data mining</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C04E94B">
            <w:pPr>
              <w:spacing w:before="0" w:after="60" w:line="250" w:lineRule="auto"/>
            </w:pPr>
            <w:r>
              <w:rPr>
                <w:rFonts w:ascii="Aptos" w:hAnsi="Aptos" w:eastAsia="Microsoft YaHei" w:cs="Aptos"/>
                <w:color w:val="000000"/>
                <w:sz w:val="19"/>
                <w:szCs w:val="19"/>
              </w:rPr>
              <w:t>Shipment failure classification, facility-level candidate causes and SHAP</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55F47E9">
            <w:pPr>
              <w:spacing w:before="0" w:after="60" w:line="250" w:lineRule="auto"/>
            </w:pPr>
            <w:r>
              <w:rPr>
                <w:rFonts w:ascii="Aptos" w:hAnsi="Aptos" w:eastAsia="Microsoft YaHei" w:cs="Aptos"/>
                <w:color w:val="000000"/>
                <w:sz w:val="19"/>
                <w:szCs w:val="19"/>
              </w:rPr>
              <w:t>Cognitive systems</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27C9437E">
            <w:pPr>
              <w:spacing w:before="0" w:after="60" w:line="250" w:lineRule="auto"/>
            </w:pPr>
            <w:r>
              <w:rPr>
                <w:rFonts w:ascii="Aptos" w:hAnsi="Aptos" w:eastAsia="Microsoft YaHei" w:cs="Aptos"/>
                <w:color w:val="000000"/>
                <w:sz w:val="19"/>
                <w:szCs w:val="19"/>
              </w:rPr>
              <w:t>Neo4j, template Cypher queries and evidence tracing</w:t>
            </w:r>
          </w:p>
        </w:tc>
      </w:tr>
    </w:tbl>
    <w:p w14:paraId="6D93A389">
      <w:pPr>
        <w:spacing w:before="0" w:after="95" w:line="276" w:lineRule="auto"/>
      </w:pPr>
      <w:r>
        <w:rPr>
          <w:rFonts w:ascii="Aptos" w:hAnsi="Aptos" w:eastAsia="Microsoft YaHei" w:cs="Aptos"/>
          <w:color w:val="000000"/>
          <w:sz w:val="21"/>
          <w:szCs w:val="21"/>
        </w:rPr>
        <w:t>M1 and M7 provide engineering support. ML scores do not enter the decision API; the rule engine is the sole semantic source of online disposition recommendations.</w:t>
      </w:r>
    </w:p>
    <w:p w14:paraId="160E9820">
      <w:pPr>
        <w:keepNext/>
        <w:spacing w:before="180" w:after="80" w:line="286" w:lineRule="auto"/>
      </w:pPr>
      <w:r>
        <w:rPr>
          <w:rFonts w:ascii="Aptos" w:hAnsi="Aptos" w:eastAsia="Microsoft YaHei" w:cs="Aptos"/>
          <w:b/>
          <w:bCs/>
          <w:color w:val="000000"/>
          <w:sz w:val="24"/>
          <w:szCs w:val="24"/>
        </w:rPr>
        <w:t>6.2 Rule-Based Disposition</w:t>
      </w:r>
    </w:p>
    <w:p w14:paraId="5B15C86A">
      <w:pPr>
        <w:spacing w:before="0" w:after="95" w:line="276" w:lineRule="auto"/>
      </w:pPr>
      <w:r>
        <w:rPr>
          <w:rFonts w:ascii="Aptos" w:hAnsi="Aptos" w:eastAsia="Microsoft YaHei" w:cs="Aptos"/>
          <w:color w:val="000000"/>
          <w:sz w:val="21"/>
          <w:szCs w:val="21"/>
        </w:rPr>
        <w:t>Inputs are product category, excursion temperature, duration in minutes, MKT, packaging condition and transport stage. Stage is recorded but currently does not affect rule branches. Historical exceptions are not decision features. The four category prototypes are vaccine_2_8, frozen_m20, insulin_2_8 and mrna_ultracold; none is a validated brand-specific configuration.</w:t>
      </w:r>
    </w:p>
    <w:p w14:paraId="31D86AD9">
      <w:pPr>
        <w:spacing w:before="0" w:after="95" w:line="276" w:lineRule="auto"/>
      </w:pPr>
      <w:r>
        <w:rPr>
          <w:rFonts w:ascii="Aptos" w:hAnsi="Aptos" w:eastAsia="Microsoft YaHei" w:cs="Aptos"/>
          <w:color w:val="000000"/>
          <w:sz w:val="21"/>
          <w:szCs w:val="21"/>
        </w:rPr>
        <w:t>Rules run in priority order, stopping at the first match: freezing risk, compromised packaging with overtemperature, severe duration/MKT excursion, ordinary duration/MKT excursion, near-limit conditions for retestable products, and the remaining cases. Outputs are release / quarantine / retest / scrap. The current policy sets reshipment_required to true for quarantine or scrap; this logistics default requires separate evaluation.</w:t>
      </w:r>
    </w:p>
    <w:p w14:paraId="7D7F34C9">
      <w:pPr>
        <w:spacing w:before="0" w:after="95" w:line="276" w:lineRule="auto"/>
      </w:pPr>
      <w:r>
        <w:rPr>
          <w:rFonts w:ascii="Aptos" w:hAnsi="Aptos" w:eastAsia="Microsoft YaHei" w:cs="Aptos"/>
          <w:color w:val="000000"/>
          <w:sz w:val="21"/>
          <w:szCs w:val="21"/>
        </w:rPr>
        <w:t>rules_config.json and the Python engine define behaviour, with a semantic port for offline use. Sandbox overrides apply only to the current request and are saved at closure. Known limitations include low-temperature excursions for non-freeze-sensitive categories, approximating tiered stability with single thresholds, and the unresolved quarantine/scrap policy for rule 4. Rules or labels will not be changed merely to increase gold agreement.</w:t>
      </w:r>
    </w:p>
    <w:p w14:paraId="5CAA6BE9">
      <w:pPr>
        <w:spacing w:before="120" w:after="90" w:line="276" w:lineRule="auto"/>
        <w:jc w:val="center"/>
      </w:pPr>
      <w:r>
        <w:drawing>
          <wp:inline distT="0" distB="0" distL="0" distR="0">
            <wp:extent cx="5667375" cy="3838575"/>
            <wp:effectExtent l="0" t="0" r="0" b="0"/>
            <wp:docPr id="100001" name="Picture 100001" descr="Figure 2 Rule and output seman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Figure 2 Rule and output semantics"/>
                    <pic:cNvPicPr/>
                  </pic:nvPicPr>
                  <pic:blipFill>
                    <a:blip r:embed="rId19"/>
                    <a:stretch>
                      <a:fillRect/>
                    </a:stretch>
                  </pic:blipFill>
                  <pic:spPr>
                    <a:xfrm>
                      <a:off x="0" y="0"/>
                      <a:ext cx="5667375" cy="3838575"/>
                    </a:xfrm>
                    <a:prstGeom prst="rect">
                      <a:avLst/>
                    </a:prstGeom>
                  </pic:spPr>
                </pic:pic>
              </a:graphicData>
            </a:graphic>
          </wp:inline>
        </w:drawing>
      </w:r>
    </w:p>
    <w:p w14:paraId="6DE4EB61">
      <w:pPr>
        <w:spacing w:before="0" w:after="95" w:line="276" w:lineRule="auto"/>
      </w:pPr>
      <w:r>
        <w:rPr>
          <w:rFonts w:ascii="Aptos" w:hAnsi="Aptos" w:eastAsia="Microsoft YaHei" w:cs="Aptos"/>
          <w:b/>
          <w:bCs/>
          <w:color w:val="000000"/>
          <w:sz w:val="21"/>
          <w:szCs w:val="21"/>
        </w:rPr>
        <w:t>Figure 2:</w:t>
      </w:r>
      <w:r>
        <w:rPr>
          <w:rFonts w:ascii="Aptos" w:hAnsi="Aptos" w:eastAsia="Microsoft YaHei" w:cs="Aptos"/>
          <w:color w:val="000000"/>
          <w:sz w:val="21"/>
          <w:szCs w:val="21"/>
        </w:rPr>
        <w:t xml:space="preserve"> Four dispositions and an independent reshipment flag. Thresholds include prototype assumptions; recommendations require quality review.</w:t>
      </w:r>
    </w:p>
    <w:p w14:paraId="0134155F">
      <w:pPr>
        <w:keepNext/>
        <w:spacing w:before="180" w:after="80" w:line="286" w:lineRule="auto"/>
      </w:pPr>
      <w:r>
        <w:rPr>
          <w:rFonts w:ascii="Aptos" w:hAnsi="Aptos" w:eastAsia="Microsoft YaHei" w:cs="Aptos"/>
          <w:b/>
          <w:bCs/>
          <w:color w:val="000000"/>
          <w:sz w:val="24"/>
          <w:szCs w:val="24"/>
        </w:rPr>
        <w:t>6.3 Risk Classification and Candidate Causes</w:t>
      </w:r>
    </w:p>
    <w:p w14:paraId="3EE67D9A">
      <w:pPr>
        <w:spacing w:before="0" w:after="95" w:line="276" w:lineRule="auto"/>
      </w:pPr>
      <w:r>
        <w:rPr>
          <w:rFonts w:ascii="Aptos" w:hAnsi="Aptos" w:eastAsia="Microsoft YaHei" w:cs="Aptos"/>
          <w:color w:val="000000"/>
          <w:sz w:val="21"/>
          <w:szCs w:val="21"/>
        </w:rPr>
        <w:t>The risk task predicts silent_failure from 8,000 shipment summaries, comparing LR, LightGBM and XGBoost and contrasting interpretable features with an extended anonymous-feature set. The current split is 70/15/15, randomly stratified. The validation set selects the F1 threshold; imputation and scaling are fitted on training data only. Features include transit duration, temperature summaries, door openings and humidity statistics, not the current API's MKT or stage fields.</w:t>
      </w:r>
    </w:p>
    <w:p w14:paraId="13C2C153">
      <w:pPr>
        <w:spacing w:before="0" w:after="95" w:line="276" w:lineRule="auto"/>
      </w:pPr>
      <w:r>
        <w:rPr>
          <w:rFonts w:ascii="Aptos" w:hAnsi="Aptos" w:eastAsia="Microsoft YaHei" w:cs="Aptos"/>
          <w:color w:val="000000"/>
          <w:sz w:val="21"/>
          <w:szCs w:val="21"/>
        </w:rPr>
        <w:t>The dataset has no timestamp or forward-looking label relative to a prediction time. This is shipment-level failure classification, not demonstrated 30/60-minute early warning. The UI risk index and cause_code are deterministic heuristics, not ML inference.</w:t>
      </w:r>
    </w:p>
    <w:p w14:paraId="1DC89399">
      <w:pPr>
        <w:spacing w:before="0" w:after="95" w:line="276" w:lineRule="auto"/>
      </w:pPr>
      <w:r>
        <w:rPr>
          <w:rFonts w:ascii="Aptos" w:hAnsi="Aptos" w:eastAsia="Microsoft YaHei" w:cs="Aptos"/>
          <w:color w:val="000000"/>
          <w:sz w:val="21"/>
          <w:szCs w:val="21"/>
        </w:rPr>
        <w:t>Candidate-cause classification uses 16,192 facility-month simulation records with heat or freeze excursions and ten cause classes, currently split 80/20 with random stratification. Inputs cover equipment, power, monitoring and vaccine context. Their availability at diagnosis and repeated facilities across partitions require further checking. The legitimacy of outcome columns as inputs depends on the task's observation time. SHAP describes model associations, not proof of equipment-failure causation.</w:t>
      </w:r>
    </w:p>
    <w:p w14:paraId="4F7EE27A">
      <w:pPr>
        <w:keepNext/>
        <w:spacing w:before="180" w:after="80" w:line="286" w:lineRule="auto"/>
      </w:pPr>
      <w:r>
        <w:rPr>
          <w:rFonts w:ascii="Aptos" w:hAnsi="Aptos" w:eastAsia="Microsoft YaHei" w:cs="Aptos"/>
          <w:b/>
          <w:bCs/>
          <w:color w:val="000000"/>
          <w:sz w:val="24"/>
          <w:szCs w:val="24"/>
        </w:rPr>
        <w:t>6.4 Delivery Optimisation</w:t>
      </w:r>
    </w:p>
    <w:p w14:paraId="29D09CCF">
      <w:pPr>
        <w:spacing w:before="0" w:after="95" w:line="276" w:lineRule="auto"/>
      </w:pPr>
      <w:r>
        <w:rPr>
          <w:rFonts w:ascii="Aptos" w:hAnsi="Aptos" w:eastAsia="Microsoft YaHei" w:cs="Aptos"/>
          <w:color w:val="000000"/>
          <w:sz w:val="21"/>
          <w:szCs w:val="21"/>
        </w:rPr>
        <w:t>The model is a single-depot VRPTW with equal vehicle capacities, customer service windows, service times and depot-return limits, minimising travel distance. The implementation uses RoutingModel, PATH_CHEAPEST_ARC and GUIDED_LOCAL_SEARCH, not CP-SAT. A time-bounded solution has no global-optimality guarantee. A feasible greedy solution is a comparison baseline, not a lower bound. OR-Tools documentation (https://developers.google.com/optimization/routing/routing_options)</w:t>
      </w:r>
    </w:p>
    <w:p w14:paraId="359C8DC9">
      <w:pPr>
        <w:spacing w:before="0" w:after="95" w:line="276" w:lineRule="auto"/>
      </w:pPr>
      <w:r>
        <w:rPr>
          <w:rFonts w:ascii="Aptos" w:hAnsi="Aptos" w:eastAsia="Microsoft YaHei" w:cs="Aptos"/>
          <w:color w:val="000000"/>
          <w:sz w:val="21"/>
          <w:szCs w:val="21"/>
        </w:rPr>
        <w:t>Six Solomon instances support standard comparisons. The Singapore case uses one depot, ten hospitals and real directed OSM matrices, measured in km and min. Travel times estimate free flow and exclude live congestion. Demands, fleet and service windows are simulated and do not imply actual commercial relationships among the facilities.</w:t>
      </w:r>
    </w:p>
    <w:p w14:paraId="665784B4">
      <w:pPr>
        <w:spacing w:before="0" w:after="95" w:line="276" w:lineRule="auto"/>
      </w:pPr>
      <w:r>
        <w:rPr>
          <w:rFonts w:ascii="Aptos" w:hAnsi="Aptos" w:eastAsia="Microsoft YaHei" w:cs="Aptos"/>
          <w:color w:val="000000"/>
          <w:sz w:val="21"/>
          <w:szCs w:val="21"/>
        </w:rPr>
        <w:t>Vue shows precomputed routes for demonstration cases and fetches live routes for archived reshipment cases; temperature edits do not trigger solving. Single-depot reshipment solving is implemented over HTTP for an ordered set of destinations, quantities and windows. Alternative-stock selection, multiple temperature compartments, carbon and wastage-loss objectives are extensions. A genetic algorithm may be considered after integrated acceptance, but is not a mandatory deliverable.</w:t>
      </w:r>
    </w:p>
    <w:p w14:paraId="205DC221">
      <w:pPr>
        <w:spacing w:before="120" w:after="90" w:line="276" w:lineRule="auto"/>
        <w:jc w:val="center"/>
      </w:pPr>
      <w:r>
        <w:drawing>
          <wp:inline distT="0" distB="0" distL="0" distR="0">
            <wp:extent cx="5667375" cy="3362325"/>
            <wp:effectExtent l="0" t="0" r="0" b="0"/>
            <wp:docPr id="100002" name="Picture 100002" descr="Figure 3 Singapore routing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Figure 3 Singapore routing case"/>
                    <pic:cNvPicPr/>
                  </pic:nvPicPr>
                  <pic:blipFill>
                    <a:blip r:embed="rId20"/>
                    <a:stretch>
                      <a:fillRect/>
                    </a:stretch>
                  </pic:blipFill>
                  <pic:spPr>
                    <a:xfrm>
                      <a:off x="0" y="0"/>
                      <a:ext cx="5667375" cy="3362325"/>
                    </a:xfrm>
                    <a:prstGeom prst="rect">
                      <a:avLst/>
                    </a:prstGeom>
                  </pic:spPr>
                </pic:pic>
              </a:graphicData>
            </a:graphic>
          </wp:inline>
        </w:drawing>
      </w:r>
    </w:p>
    <w:p w14:paraId="4684DD66">
      <w:pPr>
        <w:spacing w:before="0" w:after="95" w:line="276" w:lineRule="auto"/>
      </w:pPr>
      <w:r>
        <w:rPr>
          <w:rFonts w:ascii="Aptos" w:hAnsi="Aptos" w:eastAsia="Microsoft YaHei" w:cs="Aptos"/>
          <w:b/>
          <w:bCs/>
          <w:color w:val="000000"/>
          <w:sz w:val="21"/>
          <w:szCs w:val="21"/>
        </w:rPr>
        <w:t>Figure 3:</w:t>
      </w:r>
      <w:r>
        <w:rPr>
          <w:rFonts w:ascii="Aptos" w:hAnsi="Aptos" w:eastAsia="Microsoft YaHei" w:cs="Aptos"/>
          <w:color w:val="000000"/>
          <w:sz w:val="21"/>
          <w:szCs w:val="21"/>
        </w:rPr>
        <w:t xml:space="preserve"> Real roads, simulated operations and recorded time-bounded results, not live vehicle tracking.</w:t>
      </w:r>
    </w:p>
    <w:p w14:paraId="23588A09">
      <w:pPr>
        <w:keepNext/>
        <w:spacing w:before="180" w:after="80" w:line="286" w:lineRule="auto"/>
      </w:pPr>
      <w:r>
        <w:rPr>
          <w:rFonts w:ascii="Aptos" w:hAnsi="Aptos" w:eastAsia="Microsoft YaHei" w:cs="Aptos"/>
          <w:b/>
          <w:bCs/>
          <w:color w:val="000000"/>
          <w:sz w:val="24"/>
          <w:szCs w:val="24"/>
        </w:rPr>
        <w:t>6.5 Knowledge Graph and QA</w:t>
      </w:r>
    </w:p>
    <w:p w14:paraId="7B9234C0">
      <w:pPr>
        <w:spacing w:before="0" w:after="95" w:line="276" w:lineRule="auto"/>
      </w:pPr>
      <w:r>
        <w:rPr>
          <w:rFonts w:ascii="Aptos" w:hAnsi="Aptos" w:eastAsia="Microsoft YaHei" w:cs="Aptos"/>
          <w:color w:val="000000"/>
          <w:sz w:val="21"/>
          <w:szCs w:val="21"/>
        </w:rPr>
        <w:t>Neo4j entities include Product, Regulation, SOP, ExcursionEvent, Disposition, Cause, Facility, Shipment and ReshipmentOrder. Regulations, public procedural guidance, product configurations, Singapore facilities and dataset records retain source semantics. The approximately 8,000 Kaggle shipment records have unconfirmed real-world provenance and are suspected synthetic; they are not described as verified pharmaceutical shipments. Anonymous zones cannot be directly mapped to Singapore hospitals.</w:t>
      </w:r>
    </w:p>
    <w:p w14:paraId="7F487BB1">
      <w:pPr>
        <w:spacing w:before="0" w:after="95" w:line="276" w:lineRule="auto"/>
      </w:pPr>
      <w:r>
        <w:rPr>
          <w:rFonts w:ascii="Aptos" w:hAnsi="Aptos" w:eastAsia="Microsoft YaHei" w:cs="Aptos"/>
          <w:color w:val="000000"/>
          <w:sz w:val="21"/>
          <w:szCs w:val="21"/>
        </w:rPr>
        <w:t>case_close records a case and attempts a graph write; decide previews are not archived. Cause currently represents the API heuristic code, not an ML prediction or investigated root cause. A reshipment node records an order; whether that order was solved and executed is tracked by dispatch run state, not by the graph node. Log and graph persistence are best-effort and do not provide validated audit-grade durability.</w:t>
      </w:r>
    </w:p>
    <w:p w14:paraId="630D7D3F">
      <w:pPr>
        <w:spacing w:before="0" w:after="95" w:line="276" w:lineRule="auto"/>
      </w:pPr>
      <w:r>
        <w:rPr>
          <w:rFonts w:ascii="Aptos" w:hAnsi="Aptos" w:eastAsia="Microsoft YaHei" w:cs="Aptos"/>
          <w:color w:val="000000"/>
          <w:sz w:val="21"/>
          <w:szCs w:val="21"/>
        </w:rPr>
        <w:t>Python query functions support run_id-based explanations, audit chains, product requirements and statistics. /api/qa is implemented as bounded intent recognition over parameterised Cypher and returns case-specific evidence, distinguishing missing cases, insufficient evidence, unsupported questions and database failure; this is structured question-type routing, not natural-language classification. The frontend calls it in API mode and falls back to a keyword template offline. Evidence must support the particular rule, rather than merely provide a regulatory link. An LLM is not required for the MVP.</w:t>
      </w:r>
    </w:p>
    <w:p w14:paraId="7E51F836">
      <w:pPr>
        <w:spacing w:before="120" w:after="90" w:line="276" w:lineRule="auto"/>
        <w:jc w:val="center"/>
      </w:pPr>
      <w:r>
        <w:drawing>
          <wp:inline distT="0" distB="0" distL="0" distR="0">
            <wp:extent cx="5667375" cy="3781425"/>
            <wp:effectExtent l="0" t="0" r="0" b="0"/>
            <wp:docPr id="100003" name="Picture 100003" descr="Figure 4 Graph concepts and writing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Figure 4 Graph concepts and writing boundary"/>
                    <pic:cNvPicPr/>
                  </pic:nvPicPr>
                  <pic:blipFill>
                    <a:blip r:embed="rId21"/>
                    <a:stretch>
                      <a:fillRect/>
                    </a:stretch>
                  </pic:blipFill>
                  <pic:spPr>
                    <a:xfrm>
                      <a:off x="0" y="0"/>
                      <a:ext cx="5667375" cy="3781425"/>
                    </a:xfrm>
                    <a:prstGeom prst="rect">
                      <a:avLst/>
                    </a:prstGeom>
                  </pic:spPr>
                </pic:pic>
              </a:graphicData>
            </a:graphic>
          </wp:inline>
        </w:drawing>
      </w:r>
    </w:p>
    <w:p w14:paraId="6E0A0C5C">
      <w:pPr>
        <w:spacing w:before="0" w:after="95" w:line="276" w:lineRule="auto"/>
      </w:pPr>
      <w:r>
        <w:rPr>
          <w:rFonts w:ascii="Aptos" w:hAnsi="Aptos" w:eastAsia="Microsoft YaHei" w:cs="Aptos"/>
          <w:b/>
          <w:bCs/>
          <w:color w:val="000000"/>
          <w:sz w:val="21"/>
          <w:szCs w:val="21"/>
        </w:rPr>
        <w:t>Figure 4:</w:t>
      </w:r>
      <w:r>
        <w:rPr>
          <w:rFonts w:ascii="Aptos" w:hAnsi="Aptos" w:eastAsia="Microsoft YaHei" w:cs="Aptos"/>
          <w:color w:val="000000"/>
          <w:sz w:val="21"/>
          <w:szCs w:val="21"/>
        </w:rPr>
        <w:t xml:space="preserve"> Conceptual case chain. Facility, shipment and route associations depend on the input contracts.</w:t>
      </w:r>
    </w:p>
    <w:p w14:paraId="49B8E793">
      <w:pPr>
        <w:spacing w:before="120" w:after="90" w:line="276" w:lineRule="auto"/>
        <w:jc w:val="center"/>
      </w:pPr>
      <w:r>
        <w:drawing>
          <wp:inline distT="0" distB="0" distL="0" distR="0">
            <wp:extent cx="4857750" cy="7772400"/>
            <wp:effectExtent l="0" t="0" r="0" b="0"/>
            <wp:docPr id="100004" name="Picture 100004" descr="Demo Decision sand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descr="Demo Decision sandbox"/>
                    <pic:cNvPicPr/>
                  </pic:nvPicPr>
                  <pic:blipFill>
                    <a:blip r:embed="rId22"/>
                    <a:stretch>
                      <a:fillRect/>
                    </a:stretch>
                  </pic:blipFill>
                  <pic:spPr>
                    <a:xfrm>
                      <a:off x="0" y="0"/>
                      <a:ext cx="4857750" cy="7772400"/>
                    </a:xfrm>
                    <a:prstGeom prst="rect">
                      <a:avLst/>
                    </a:prstGeom>
                  </pic:spPr>
                </pic:pic>
              </a:graphicData>
            </a:graphic>
          </wp:inline>
        </w:drawing>
      </w:r>
    </w:p>
    <w:p w14:paraId="437F550E">
      <w:pPr>
        <w:spacing w:before="0" w:after="95" w:line="276" w:lineRule="auto"/>
      </w:pPr>
      <w:r>
        <w:rPr>
          <w:rFonts w:ascii="Aptos" w:hAnsi="Aptos" w:eastAsia="Microsoft YaHei" w:cs="Aptos"/>
          <w:b/>
          <w:bCs/>
          <w:color w:val="000000"/>
          <w:sz w:val="21"/>
          <w:szCs w:val="21"/>
        </w:rPr>
        <w:t>Demo, 2026-09-12:</w:t>
      </w:r>
      <w:r>
        <w:rPr>
          <w:rFonts w:ascii="Aptos" w:hAnsi="Aptos" w:eastAsia="Microsoft YaHei" w:cs="Aptos"/>
          <w:color w:val="000000"/>
          <w:sz w:val="21"/>
          <w:szCs w:val="21"/>
        </w:rPr>
        <w:t xml:space="preserve"> Rule recommendations, paths and heuristic risk scores, not final human approvals.</w:t>
      </w:r>
    </w:p>
    <w:p w14:paraId="26C150A9">
      <w:pPr>
        <w:spacing w:before="120" w:after="90" w:line="276" w:lineRule="auto"/>
        <w:jc w:val="center"/>
      </w:pPr>
      <w:r>
        <w:drawing>
          <wp:inline distT="0" distB="0" distL="0" distR="0">
            <wp:extent cx="5667375" cy="5524500"/>
            <wp:effectExtent l="0" t="0" r="0" b="0"/>
            <wp:docPr id="100005" name="Picture 100005" descr="Demo Routes and 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descr="Demo Routes and QA"/>
                    <pic:cNvPicPr/>
                  </pic:nvPicPr>
                  <pic:blipFill>
                    <a:blip r:embed="rId23"/>
                    <a:stretch>
                      <a:fillRect/>
                    </a:stretch>
                  </pic:blipFill>
                  <pic:spPr>
                    <a:xfrm>
                      <a:off x="0" y="0"/>
                      <a:ext cx="5667375" cy="5524500"/>
                    </a:xfrm>
                    <a:prstGeom prst="rect">
                      <a:avLst/>
                    </a:prstGeom>
                  </pic:spPr>
                </pic:pic>
              </a:graphicData>
            </a:graphic>
          </wp:inline>
        </w:drawing>
      </w:r>
    </w:p>
    <w:p w14:paraId="210E7E79">
      <w:pPr>
        <w:spacing w:before="0" w:after="95" w:line="276" w:lineRule="auto"/>
      </w:pPr>
      <w:r>
        <w:rPr>
          <w:rFonts w:ascii="Aptos" w:hAnsi="Aptos" w:eastAsia="Microsoft YaHei" w:cs="Aptos"/>
          <w:b/>
          <w:bCs/>
          <w:color w:val="000000"/>
          <w:sz w:val="21"/>
          <w:szCs w:val="21"/>
        </w:rPr>
        <w:t>Demo, 2026-09-13:</w:t>
      </w:r>
      <w:r>
        <w:rPr>
          <w:rFonts w:ascii="Aptos" w:hAnsi="Aptos" w:eastAsia="Microsoft YaHei" w:cs="Aptos"/>
          <w:color w:val="000000"/>
          <w:sz w:val="21"/>
          <w:szCs w:val="21"/>
        </w:rPr>
        <w:t xml:space="preserve"> Precomputed routes for the demonstration case and an archived case fetching a live route and a case-specific graph answer. The order-driven dispatch screen is not shown because it is not built; this is not evidence of a completed integrated workflow.</w:t>
      </w:r>
    </w:p>
    <w:p w14:paraId="6575522C">
      <w:pPr>
        <w:keepNext/>
        <w:spacing w:before="180" w:after="80" w:line="286" w:lineRule="auto"/>
      </w:pPr>
      <w:r>
        <w:rPr>
          <w:rFonts w:ascii="Aptos" w:hAnsi="Aptos" w:eastAsia="Microsoft YaHei" w:cs="Aptos"/>
          <w:b/>
          <w:bCs/>
          <w:color w:val="000000"/>
          <w:sz w:val="24"/>
          <w:szCs w:val="24"/>
        </w:rPr>
        <w:t>6.6 Architecture and Interfaces</w:t>
      </w:r>
    </w:p>
    <w:p w14:paraId="40FD9678">
      <w:pPr>
        <w:spacing w:before="0" w:after="95" w:line="276" w:lineRule="auto"/>
      </w:pPr>
      <w:r>
        <w:rPr>
          <w:rFonts w:ascii="Aptos" w:hAnsi="Aptos" w:eastAsia="Microsoft YaHei" w:cs="Aptos"/>
          <w:color w:val="000000"/>
          <w:sz w:val="21"/>
          <w:szCs w:val="21"/>
        </w:rPr>
        <w:t>The frontend uses Vue 3, Vite, Pinia and Leaflet, with a legacy static demo retained. Online mode calls the Python engine through FastAPI/Uvicorn; offline mode uses a JS port. JSONL stores case history and Neo4j stores graph knowledge. Training and route-export scripts run separately.</w:t>
      </w:r>
    </w:p>
    <w:p w14:paraId="2C93C161">
      <w:pPr>
        <w:spacing w:before="120" w:after="90" w:line="276" w:lineRule="auto"/>
        <w:jc w:val="center"/>
      </w:pPr>
      <w:r>
        <w:drawing>
          <wp:inline distT="0" distB="0" distL="0" distR="0">
            <wp:extent cx="5667375" cy="4019550"/>
            <wp:effectExtent l="0" t="0" r="0" b="0"/>
            <wp:docPr id="100006" name="Picture 100006" descr="Figure 5 Curr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descr="Figure 5 Current architecture"/>
                    <pic:cNvPicPr/>
                  </pic:nvPicPr>
                  <pic:blipFill>
                    <a:blip r:embed="rId24"/>
                    <a:stretch>
                      <a:fillRect/>
                    </a:stretch>
                  </pic:blipFill>
                  <pic:spPr>
                    <a:xfrm>
                      <a:off x="0" y="0"/>
                      <a:ext cx="5667375" cy="4019550"/>
                    </a:xfrm>
                    <a:prstGeom prst="rect">
                      <a:avLst/>
                    </a:prstGeom>
                  </pic:spPr>
                </pic:pic>
              </a:graphicData>
            </a:graphic>
          </wp:inline>
        </w:drawing>
      </w:r>
    </w:p>
    <w:p w14:paraId="156DF38B">
      <w:pPr>
        <w:spacing w:before="0" w:after="95" w:line="276" w:lineRule="auto"/>
      </w:pPr>
      <w:r>
        <w:rPr>
          <w:rFonts w:ascii="Aptos" w:hAnsi="Aptos" w:eastAsia="Microsoft YaHei" w:cs="Aptos"/>
          <w:b/>
          <w:bCs/>
          <w:color w:val="000000"/>
          <w:sz w:val="21"/>
          <w:szCs w:val="21"/>
        </w:rPr>
        <w:t>Figure 5:</w:t>
      </w:r>
      <w:r>
        <w:rPr>
          <w:rFonts w:ascii="Aptos" w:hAnsi="Aptos" w:eastAsia="Microsoft YaHei" w:cs="Aptos"/>
          <w:color w:val="000000"/>
          <w:sz w:val="21"/>
          <w:szCs w:val="21"/>
        </w:rPr>
        <w:t xml:space="preserve"> Online rules, offline experiments, precomputed routes and HTTP interfaces not yet wired to a screen are shown separately.</w:t>
      </w:r>
    </w:p>
    <w:p w14:paraId="601DE60F">
      <w:pPr>
        <w:spacing w:before="0" w:after="95" w:line="276" w:lineRule="auto"/>
      </w:pPr>
      <w:r>
        <w:rPr>
          <w:rFonts w:ascii="Aptos" w:hAnsi="Aptos" w:eastAsia="Microsoft YaHei" w:cs="Aptos"/>
          <w:color w:val="000000"/>
          <w:sz w:val="21"/>
          <w:szCs w:val="21"/>
        </w:rPr>
        <w:t>Cross-member contracts must fix the association among run_id, order_id, product, destination, quantity, time windows, temperature compatibility and ReplanResult, and handle infeasible routes, repeated closures and storage failures. The API now carries order destination, quantity, time windows, temperature zone and route results, with defined responses for infeasible routes and infeasible windows and a version-checked store for repeated commands; what remains on the contract is the frontend dispatch screen.</w:t>
      </w:r>
    </w:p>
    <w:p w14:paraId="15ADC35A">
      <w:pPr>
        <w:spacing w:before="120" w:after="90" w:line="276" w:lineRule="auto"/>
        <w:jc w:val="center"/>
      </w:pPr>
      <w:r>
        <w:drawing>
          <wp:inline distT="0" distB="0" distL="0" distR="0">
            <wp:extent cx="5667375" cy="3781425"/>
            <wp:effectExtent l="0" t="0" r="0" b="0"/>
            <wp:docPr id="100007" name="Picture 100007" descr="Figure 6 Minimal integrate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descr="Figure 6 Minimal integrated workflow"/>
                    <pic:cNvPicPr/>
                  </pic:nvPicPr>
                  <pic:blipFill>
                    <a:blip r:embed="rId25"/>
                    <a:stretch>
                      <a:fillRect/>
                    </a:stretch>
                  </pic:blipFill>
                  <pic:spPr>
                    <a:xfrm>
                      <a:off x="0" y="0"/>
                      <a:ext cx="5667375" cy="3781425"/>
                    </a:xfrm>
                    <a:prstGeom prst="rect">
                      <a:avLst/>
                    </a:prstGeom>
                  </pic:spPr>
                </pic:pic>
              </a:graphicData>
            </a:graphic>
          </wp:inline>
        </w:drawing>
      </w:r>
    </w:p>
    <w:p w14:paraId="6051DF54">
      <w:pPr>
        <w:spacing w:before="0" w:after="95" w:line="276" w:lineRule="auto"/>
      </w:pPr>
      <w:r>
        <w:rPr>
          <w:rFonts w:ascii="Aptos" w:hAnsi="Aptos" w:eastAsia="Microsoft YaHei" w:cs="Aptos"/>
          <w:b/>
          <w:bCs/>
          <w:color w:val="000000"/>
          <w:sz w:val="21"/>
          <w:szCs w:val="21"/>
        </w:rPr>
        <w:t>Figure 6:</w:t>
      </w:r>
      <w:r>
        <w:rPr>
          <w:rFonts w:ascii="Aptos" w:hAnsi="Aptos" w:eastAsia="Microsoft YaHei" w:cs="Aptos"/>
          <w:color w:val="000000"/>
          <w:sz w:val="21"/>
          <w:szCs w:val="21"/>
        </w:rPr>
        <w:t xml:space="preserve"> W3 integration acceptance target. Core modules exist, while connections remain to be implemented.</w:t>
      </w:r>
    </w:p>
    <w:p w14:paraId="277D8FC6">
      <w:pPr>
        <w:keepNext/>
        <w:spacing w:before="260" w:after="100" w:line="300" w:lineRule="auto"/>
      </w:pPr>
      <w:r>
        <w:rPr>
          <w:rFonts w:ascii="Aptos" w:hAnsi="Aptos" w:eastAsia="Microsoft YaHei" w:cs="Aptos"/>
          <w:b/>
          <w:bCs/>
          <w:color w:val="000000"/>
          <w:sz w:val="28"/>
          <w:szCs w:val="28"/>
        </w:rPr>
        <w:t>7. Data Collection and Preparation</w:t>
      </w:r>
    </w:p>
    <w:p w14:paraId="60060D2F">
      <w:pPr>
        <w:keepNext/>
        <w:spacing w:before="180" w:after="80" w:line="286" w:lineRule="auto"/>
      </w:pPr>
      <w:r>
        <w:rPr>
          <w:rFonts w:ascii="Aptos" w:hAnsi="Aptos" w:eastAsia="Microsoft YaHei" w:cs="Aptos"/>
          <w:b/>
          <w:bCs/>
          <w:color w:val="000000"/>
          <w:sz w:val="24"/>
          <w:szCs w:val="24"/>
        </w:rPr>
        <w:t>7.1 Main Datasets</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2340"/>
        <w:gridCol w:w="2340"/>
        <w:gridCol w:w="2340"/>
        <w:gridCol w:w="2340"/>
      </w:tblGrid>
      <w:tr>
        <w:tc>
          <w:tcPr>
            <w:tcW w:w="234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25362526">
            <w:pPr>
              <w:spacing w:before="0" w:after="60" w:line="250" w:lineRule="auto"/>
            </w:pPr>
            <w:r>
              <w:rPr>
                <w:rFonts w:ascii="Aptos" w:hAnsi="Aptos" w:eastAsia="Microsoft YaHei" w:cs="Aptos"/>
                <w:b/>
                <w:bCs/>
                <w:color w:val="FFFFFF"/>
                <w:sz w:val="19"/>
                <w:szCs w:val="19"/>
              </w:rPr>
              <w:t>Dataset</w:t>
            </w:r>
          </w:p>
        </w:tc>
        <w:tc>
          <w:tcPr>
            <w:tcW w:w="234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7B289583">
            <w:pPr>
              <w:spacing w:before="0" w:after="60" w:line="250" w:lineRule="auto"/>
            </w:pPr>
            <w:r>
              <w:rPr>
                <w:rFonts w:ascii="Aptos" w:hAnsi="Aptos" w:eastAsia="Microsoft YaHei" w:cs="Aptos"/>
                <w:b/>
                <w:bCs/>
                <w:color w:val="FFFFFF"/>
                <w:sz w:val="19"/>
                <w:szCs w:val="19"/>
              </w:rPr>
              <w:t>Size and grain</w:t>
            </w:r>
          </w:p>
        </w:tc>
        <w:tc>
          <w:tcPr>
            <w:tcW w:w="234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5CC7BA09">
            <w:pPr>
              <w:spacing w:before="0" w:after="60" w:line="250" w:lineRule="auto"/>
            </w:pPr>
            <w:r>
              <w:rPr>
                <w:rFonts w:ascii="Aptos" w:hAnsi="Aptos" w:eastAsia="Microsoft YaHei" w:cs="Aptos"/>
                <w:b/>
                <w:bCs/>
                <w:color w:val="FFFFFF"/>
                <w:sz w:val="19"/>
                <w:szCs w:val="19"/>
              </w:rPr>
              <w:t>Use</w:t>
            </w:r>
          </w:p>
        </w:tc>
        <w:tc>
          <w:tcPr>
            <w:tcW w:w="234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38445AE0">
            <w:pPr>
              <w:spacing w:before="0" w:after="60" w:line="250" w:lineRule="auto"/>
            </w:pPr>
            <w:r>
              <w:rPr>
                <w:rFonts w:ascii="Aptos" w:hAnsi="Aptos" w:eastAsia="Microsoft YaHei" w:cs="Aptos"/>
                <w:b/>
                <w:bCs/>
                <w:color w:val="FFFFFF"/>
                <w:sz w:val="19"/>
                <w:szCs w:val="19"/>
              </w:rPr>
              <w:t>Nature and licence</w:t>
            </w:r>
          </w:p>
        </w:tc>
      </w:tr>
      <w:tr>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C2C3A5E">
            <w:pPr>
              <w:spacing w:before="0" w:after="60" w:line="250" w:lineRule="auto"/>
            </w:pPr>
            <w:r>
              <w:rPr>
                <w:rFonts w:ascii="Aptos" w:hAnsi="Aptos" w:eastAsia="Microsoft YaHei" w:cs="Aptos"/>
                <w:color w:val="000000"/>
                <w:sz w:val="19"/>
                <w:szCs w:val="19"/>
              </w:rPr>
              <w:t>Cold Chain Silent Failure (https://www.kaggle.com/datasets/skarin/cold-chain-shipment-silent-failure-dataset)</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0F558A">
            <w:pPr>
              <w:spacing w:before="0" w:after="60" w:line="250" w:lineRule="auto"/>
            </w:pPr>
            <w:r>
              <w:rPr>
                <w:rFonts w:ascii="Aptos" w:hAnsi="Aptos" w:eastAsia="Microsoft YaHei" w:cs="Aptos"/>
                <w:color w:val="000000"/>
                <w:sz w:val="19"/>
                <w:szCs w:val="19"/>
              </w:rPr>
              <w:t>8,000 × 24; shipment summaries</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45DB992">
            <w:pPr>
              <w:spacing w:before="0" w:after="60" w:line="250" w:lineRule="auto"/>
            </w:pPr>
            <w:r>
              <w:rPr>
                <w:rFonts w:ascii="Aptos" w:hAnsi="Aptos" w:eastAsia="Microsoft YaHei" w:cs="Aptos"/>
                <w:color w:val="000000"/>
                <w:sz w:val="19"/>
                <w:szCs w:val="19"/>
              </w:rPr>
              <w:t>Failure classification</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8FDA2DC">
            <w:pPr>
              <w:spacing w:before="0" w:after="60" w:line="250" w:lineRule="auto"/>
            </w:pPr>
            <w:r>
              <w:rPr>
                <w:rFonts w:ascii="Aptos" w:hAnsi="Aptos" w:eastAsia="Microsoft YaHei" w:cs="Aptos"/>
                <w:color w:val="000000"/>
                <w:sz w:val="19"/>
                <w:szCs w:val="19"/>
              </w:rPr>
              <w:t>Suspected synthetic; CC0</w:t>
            </w:r>
          </w:p>
        </w:tc>
      </w:tr>
      <w:tr>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3986126">
            <w:pPr>
              <w:spacing w:before="0" w:after="60" w:line="250" w:lineRule="auto"/>
            </w:pPr>
            <w:r>
              <w:rPr>
                <w:rFonts w:ascii="Aptos" w:hAnsi="Aptos" w:eastAsia="Microsoft YaHei" w:cs="Aptos"/>
                <w:color w:val="000000"/>
                <w:sz w:val="19"/>
                <w:szCs w:val="19"/>
              </w:rPr>
              <w:t>Vaccine Distribution (https://www.kaggle.com/datasets/manankhanna0/vaccine-distribution-with-temperature-logging)</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C0C5B82">
            <w:pPr>
              <w:spacing w:before="0" w:after="60" w:line="250" w:lineRule="auto"/>
            </w:pPr>
            <w:r>
              <w:rPr>
                <w:rFonts w:ascii="Aptos" w:hAnsi="Aptos" w:eastAsia="Microsoft YaHei" w:cs="Aptos"/>
                <w:color w:val="000000"/>
                <w:sz w:val="19"/>
                <w:szCs w:val="19"/>
              </w:rPr>
              <w:t>26,674 × 13; logs for 30 batches</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BF34308">
            <w:pPr>
              <w:spacing w:before="0" w:after="60" w:line="250" w:lineRule="auto"/>
            </w:pPr>
            <w:r>
              <w:rPr>
                <w:rFonts w:ascii="Aptos" w:hAnsi="Aptos" w:eastAsia="Microsoft YaHei" w:cs="Aptos"/>
                <w:color w:val="000000"/>
                <w:sz w:val="19"/>
                <w:szCs w:val="19"/>
              </w:rPr>
              <w:t>Demo material and sequence task</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CEBABD5">
            <w:pPr>
              <w:spacing w:before="0" w:after="60" w:line="250" w:lineRule="auto"/>
            </w:pPr>
            <w:r>
              <w:rPr>
                <w:rFonts w:ascii="Aptos" w:hAnsi="Aptos" w:eastAsia="Microsoft YaHei" w:cs="Aptos"/>
                <w:color w:val="000000"/>
                <w:sz w:val="19"/>
                <w:szCs w:val="19"/>
              </w:rPr>
              <w:t>Suspected synthetic, real place names; CC0</w:t>
            </w:r>
          </w:p>
        </w:tc>
      </w:tr>
      <w:tr>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3E6F725">
            <w:pPr>
              <w:spacing w:before="0" w:after="60" w:line="250" w:lineRule="auto"/>
            </w:pPr>
            <w:r>
              <w:rPr>
                <w:rFonts w:ascii="Aptos" w:hAnsi="Aptos" w:eastAsia="Microsoft YaHei" w:cs="Aptos"/>
                <w:color w:val="000000"/>
                <w:sz w:val="19"/>
                <w:szCs w:val="19"/>
              </w:rPr>
              <w:t>Electric Sheep Africa vaccine-cold-chain (https://huggingface.co/datasets/electricsheepafrica/vaccine-cold-chain)</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72F6D3F">
            <w:pPr>
              <w:spacing w:before="0" w:after="60" w:line="250" w:lineRule="auto"/>
            </w:pPr>
            <w:r>
              <w:rPr>
                <w:rFonts w:ascii="Aptos" w:hAnsi="Aptos" w:eastAsia="Microsoft YaHei" w:cs="Aptos"/>
                <w:color w:val="000000"/>
                <w:sz w:val="19"/>
                <w:szCs w:val="19"/>
              </w:rPr>
              <w:t>3 × 10,000 × 46; facility-month</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6D413D6">
            <w:pPr>
              <w:spacing w:before="0" w:after="60" w:line="250" w:lineRule="auto"/>
            </w:pPr>
            <w:r>
              <w:rPr>
                <w:rFonts w:ascii="Aptos" w:hAnsi="Aptos" w:eastAsia="Microsoft YaHei" w:cs="Aptos"/>
                <w:color w:val="000000"/>
                <w:sz w:val="19"/>
                <w:szCs w:val="19"/>
              </w:rPr>
              <w:t>Candidate causes</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964396B">
            <w:pPr>
              <w:spacing w:before="0" w:after="60" w:line="250" w:lineRule="auto"/>
            </w:pPr>
            <w:r>
              <w:rPr>
                <w:rFonts w:ascii="Aptos" w:hAnsi="Aptos" w:eastAsia="Microsoft YaHei" w:cs="Aptos"/>
                <w:color w:val="000000"/>
                <w:sz w:val="19"/>
                <w:szCs w:val="19"/>
              </w:rPr>
              <w:t>Simulation; CC BY 4.0</w:t>
            </w:r>
          </w:p>
        </w:tc>
      </w:tr>
      <w:tr>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99C9F32">
            <w:pPr>
              <w:spacing w:before="0" w:after="60" w:line="250" w:lineRule="auto"/>
            </w:pPr>
            <w:r>
              <w:rPr>
                <w:rFonts w:ascii="Aptos" w:hAnsi="Aptos" w:eastAsia="Microsoft YaHei" w:cs="Aptos"/>
                <w:color w:val="000000"/>
                <w:sz w:val="19"/>
                <w:szCs w:val="19"/>
              </w:rPr>
              <w:t>Africa Synth Immunization (https://huggingface.co/datasets/electricsheepafrica/africa-synth-immunization-vaccine-quality-cold-chain-all)</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2CB15DFC">
            <w:pPr>
              <w:spacing w:before="0" w:after="60" w:line="250" w:lineRule="auto"/>
            </w:pPr>
            <w:r>
              <w:rPr>
                <w:rFonts w:ascii="Aptos" w:hAnsi="Aptos" w:eastAsia="Microsoft YaHei" w:cs="Aptos"/>
                <w:color w:val="000000"/>
                <w:sz w:val="19"/>
                <w:szCs w:val="19"/>
              </w:rPr>
              <w:t>Approximately 30,000 rows</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E483325">
            <w:pPr>
              <w:spacing w:before="0" w:after="60" w:line="250" w:lineRule="auto"/>
            </w:pPr>
            <w:r>
              <w:rPr>
                <w:rFonts w:ascii="Aptos" w:hAnsi="Aptos" w:eastAsia="Microsoft YaHei" w:cs="Aptos"/>
                <w:color w:val="000000"/>
                <w:sz w:val="19"/>
                <w:szCs w:val="19"/>
              </w:rPr>
              <w:t>Optional quality-risk supplement</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124EC40">
            <w:pPr>
              <w:spacing w:before="0" w:after="60" w:line="250" w:lineRule="auto"/>
            </w:pPr>
            <w:r>
              <w:rPr>
                <w:rFonts w:ascii="Aptos" w:hAnsi="Aptos" w:eastAsia="Microsoft YaHei" w:cs="Aptos"/>
                <w:color w:val="000000"/>
                <w:sz w:val="19"/>
                <w:szCs w:val="19"/>
              </w:rPr>
              <w:t>Synthetic; CC BY 4.0</w:t>
            </w:r>
          </w:p>
        </w:tc>
      </w:tr>
      <w:tr>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267B44">
            <w:pPr>
              <w:spacing w:before="0" w:after="60" w:line="250" w:lineRule="auto"/>
            </w:pPr>
            <w:r>
              <w:rPr>
                <w:rFonts w:ascii="Aptos" w:hAnsi="Aptos" w:eastAsia="Microsoft YaHei" w:cs="Aptos"/>
                <w:color w:val="000000"/>
                <w:sz w:val="19"/>
                <w:szCs w:val="19"/>
              </w:rPr>
              <w:t>Solomon / CVRPLIB (http://vrp.atd-lab.inf.puc-rio.br/index.php/en/)</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DBB789">
            <w:pPr>
              <w:spacing w:before="0" w:after="60" w:line="250" w:lineRule="auto"/>
            </w:pPr>
            <w:r>
              <w:rPr>
                <w:rFonts w:ascii="Aptos" w:hAnsi="Aptos" w:eastAsia="Microsoft YaHei" w:cs="Aptos"/>
                <w:color w:val="000000"/>
                <w:sz w:val="19"/>
                <w:szCs w:val="19"/>
              </w:rPr>
              <w:t>Six committed instances</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D30962E">
            <w:pPr>
              <w:spacing w:before="0" w:after="60" w:line="250" w:lineRule="auto"/>
            </w:pPr>
            <w:r>
              <w:rPr>
                <w:rFonts w:ascii="Aptos" w:hAnsi="Aptos" w:eastAsia="Microsoft YaHei" w:cs="Aptos"/>
                <w:color w:val="000000"/>
                <w:sz w:val="19"/>
                <w:szCs w:val="19"/>
              </w:rPr>
              <w:t>Standard VRPTW comparison</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9842840">
            <w:pPr>
              <w:spacing w:before="0" w:after="60" w:line="250" w:lineRule="auto"/>
            </w:pPr>
            <w:r>
              <w:rPr>
                <w:rFonts w:ascii="Aptos" w:hAnsi="Aptos" w:eastAsia="Microsoft YaHei" w:cs="Aptos"/>
                <w:color w:val="000000"/>
                <w:sz w:val="19"/>
                <w:szCs w:val="19"/>
              </w:rPr>
              <w:t>Abstract benchmark, preserve attribution</w:t>
            </w:r>
          </w:p>
        </w:tc>
      </w:tr>
      <w:tr>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7F22BFA">
            <w:pPr>
              <w:spacing w:before="0" w:after="60" w:line="250" w:lineRule="auto"/>
            </w:pPr>
            <w:r>
              <w:rPr>
                <w:rFonts w:ascii="Aptos" w:hAnsi="Aptos" w:eastAsia="Microsoft YaHei" w:cs="Aptos"/>
                <w:color w:val="000000"/>
                <w:sz w:val="19"/>
                <w:szCs w:val="19"/>
              </w:rPr>
              <w:t>OpenStreetMap (https://www.openstreetmap.org/copyright) Singapore</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68717AE">
            <w:pPr>
              <w:spacing w:before="0" w:after="60" w:line="250" w:lineRule="auto"/>
            </w:pPr>
            <w:r>
              <w:rPr>
                <w:rFonts w:ascii="Aptos" w:hAnsi="Aptos" w:eastAsia="Microsoft YaHei" w:cs="Aptos"/>
                <w:color w:val="000000"/>
                <w:sz w:val="19"/>
                <w:szCs w:val="19"/>
              </w:rPr>
              <w:t>11 facilities, 11×11 matrices, 110 directed paths</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7C75151">
            <w:pPr>
              <w:spacing w:before="0" w:after="60" w:line="250" w:lineRule="auto"/>
            </w:pPr>
            <w:r>
              <w:rPr>
                <w:rFonts w:ascii="Aptos" w:hAnsi="Aptos" w:eastAsia="Microsoft YaHei" w:cs="Aptos"/>
                <w:color w:val="000000"/>
                <w:sz w:val="19"/>
                <w:szCs w:val="19"/>
              </w:rPr>
              <w:t>Local routing case</w:t>
            </w:r>
          </w:p>
        </w:tc>
        <w:tc>
          <w:tcPr>
            <w:tcW w:w="234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F3F3CC3">
            <w:pPr>
              <w:spacing w:before="0" w:after="60" w:line="250" w:lineRule="auto"/>
            </w:pPr>
            <w:r>
              <w:rPr>
                <w:rFonts w:ascii="Aptos" w:hAnsi="Aptos" w:eastAsia="Microsoft YaHei" w:cs="Aptos"/>
                <w:color w:val="000000"/>
                <w:sz w:val="19"/>
                <w:szCs w:val="19"/>
              </w:rPr>
              <w:t>Real roads, simulated operations; ODbL</w:t>
            </w:r>
          </w:p>
        </w:tc>
      </w:tr>
      <w:tr>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C687C75">
            <w:pPr>
              <w:spacing w:before="0" w:after="60" w:line="250" w:lineRule="auto"/>
            </w:pPr>
            <w:r>
              <w:rPr>
                <w:rFonts w:ascii="Aptos" w:hAnsi="Aptos" w:eastAsia="Microsoft YaHei" w:cs="Aptos"/>
                <w:color w:val="000000"/>
                <w:sz w:val="19"/>
                <w:szCs w:val="19"/>
              </w:rPr>
              <w:t>Authored scenarios and human gold</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D92D808">
            <w:pPr>
              <w:spacing w:before="0" w:after="60" w:line="250" w:lineRule="auto"/>
            </w:pPr>
            <w:r>
              <w:rPr>
                <w:rFonts w:ascii="Aptos" w:hAnsi="Aptos" w:eastAsia="Microsoft YaHei" w:cs="Aptos"/>
                <w:color w:val="000000"/>
                <w:sz w:val="19"/>
                <w:szCs w:val="19"/>
              </w:rPr>
              <w:t>57 cases, four dispositions</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2DD4342">
            <w:pPr>
              <w:spacing w:before="0" w:after="60" w:line="250" w:lineRule="auto"/>
            </w:pPr>
            <w:r>
              <w:rPr>
                <w:rFonts w:ascii="Aptos" w:hAnsi="Aptos" w:eastAsia="Microsoft YaHei" w:cs="Aptos"/>
                <w:color w:val="000000"/>
                <w:sz w:val="19"/>
                <w:szCs w:val="19"/>
              </w:rPr>
              <w:t>Rule evaluation</w:t>
            </w:r>
          </w:p>
        </w:tc>
        <w:tc>
          <w:tcPr>
            <w:tcW w:w="234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FC90A5C">
            <w:pPr>
              <w:spacing w:before="0" w:after="60" w:line="250" w:lineRule="auto"/>
            </w:pPr>
            <w:r>
              <w:rPr>
                <w:rFonts w:ascii="Aptos" w:hAnsi="Aptos" w:eastAsia="Microsoft YaHei" w:cs="Aptos"/>
                <w:color w:val="000000"/>
                <w:sz w:val="19"/>
                <w:szCs w:val="19"/>
              </w:rPr>
              <w:t>Synthetic scenarios, independent annotation and arbitration</w:t>
            </w:r>
          </w:p>
        </w:tc>
      </w:tr>
    </w:tbl>
    <w:p w14:paraId="529DF552">
      <w:pPr>
        <w:spacing w:before="0" w:after="95" w:line="276" w:lineRule="auto"/>
      </w:pPr>
      <w:r>
        <w:rPr>
          <w:rFonts w:ascii="Aptos" w:hAnsi="Aptos" w:eastAsia="Microsoft YaHei" w:cs="Aptos"/>
          <w:color w:val="000000"/>
          <w:sz w:val="21"/>
          <w:szCs w:val="21"/>
        </w:rPr>
        <w:t>Licence verification is recorded in the data dictionary (../data/ml/DATA_DICTIONARY.md). Preserve Electric Sheep Africa attribution and licence information and the applicable OSM attribution. Other small-sample or cybersecurity datasets are not core benchmarks.</w:t>
      </w:r>
    </w:p>
    <w:p w14:paraId="0A76C0EF">
      <w:pPr>
        <w:keepNext/>
        <w:spacing w:before="180" w:after="80" w:line="286" w:lineRule="auto"/>
      </w:pPr>
      <w:r>
        <w:rPr>
          <w:rFonts w:ascii="Aptos" w:hAnsi="Aptos" w:eastAsia="Microsoft YaHei" w:cs="Aptos"/>
          <w:b/>
          <w:bCs/>
          <w:color w:val="000000"/>
          <w:sz w:val="24"/>
          <w:szCs w:val="24"/>
        </w:rPr>
        <w:t>7.2 Domain Knowledge Sources</w:t>
      </w:r>
    </w:p>
    <w:p w14:paraId="461ECF1B">
      <w:pPr>
        <w:spacing w:before="0" w:after="95" w:line="276" w:lineRule="auto"/>
      </w:pPr>
      <w:r>
        <w:rPr>
          <w:rFonts w:ascii="Aptos" w:hAnsi="Aptos" w:eastAsia="Microsoft YaHei" w:cs="Aptos"/>
          <w:color w:val="000000"/>
          <w:sz w:val="21"/>
          <w:szCs w:val="21"/>
        </w:rPr>
        <w:t>Rule evidence comes from WHO, EU GDP, ICH and applicable product documents. Procedural nodes cite public CDC/WHO guidance, not fictitious internal company SOPs. Record source, scope and assumptions, separating product evidence from general principles. Incomplete rule reviews are not described as fully verified.</w:t>
      </w:r>
    </w:p>
    <w:p w14:paraId="3F0C2018">
      <w:pPr>
        <w:keepNext/>
        <w:spacing w:before="180" w:after="80" w:line="286" w:lineRule="auto"/>
      </w:pPr>
      <w:r>
        <w:rPr>
          <w:rFonts w:ascii="Aptos" w:hAnsi="Aptos" w:eastAsia="Microsoft YaHei" w:cs="Aptos"/>
          <w:b/>
          <w:bCs/>
          <w:color w:val="000000"/>
          <w:sz w:val="24"/>
          <w:szCs w:val="24"/>
        </w:rPr>
        <w:t>7.3 Preparation and Task Boundaries</w:t>
      </w:r>
    </w:p>
    <w:p w14:paraId="12F07CCB">
      <w:pPr>
        <w:spacing w:before="0" w:after="65" w:line="276" w:lineRule="auto"/>
        <w:ind w:left="420" w:hanging="220"/>
      </w:pPr>
      <w:r>
        <w:rPr>
          <w:rFonts w:ascii="Aptos" w:hAnsi="Aptos" w:eastAsia="Microsoft YaHei" w:cs="Aptos"/>
          <w:color w:val="000000"/>
          <w:sz w:val="21"/>
          <w:szCs w:val="21"/>
        </w:rPr>
        <w:t>• Model each dataset at its original grain; do not invent common batch identifiers linking shipments, facility-months and Singapore orders.</w:t>
      </w:r>
    </w:p>
    <w:p w14:paraId="55F7CD0B">
      <w:pPr>
        <w:spacing w:before="0" w:after="65" w:line="276" w:lineRule="auto"/>
        <w:ind w:left="420" w:hanging="220"/>
      </w:pPr>
      <w:r>
        <w:rPr>
          <w:rFonts w:ascii="Aptos" w:hAnsi="Aptos" w:eastAsia="Microsoft YaHei" w:cs="Aptos"/>
          <w:color w:val="000000"/>
          <w:sz w:val="21"/>
          <w:szCs w:val="21"/>
        </w:rPr>
        <w:t>• Use random stratification for the timestamp-free failure task. Multi-fold work must fit preprocessing and select thresholds inside each fold's training portion, reserving its test portion for scoring.</w:t>
      </w:r>
    </w:p>
    <w:p w14:paraId="3BF39DF5">
      <w:pPr>
        <w:spacing w:before="0" w:after="65" w:line="276" w:lineRule="auto"/>
        <w:ind w:left="420" w:hanging="220"/>
      </w:pPr>
      <w:r>
        <w:rPr>
          <w:rFonts w:ascii="Aptos" w:hAnsi="Aptos" w:eastAsia="Microsoft YaHei" w:cs="Aptos"/>
          <w:color w:val="000000"/>
          <w:sz w:val="21"/>
          <w:szCs w:val="21"/>
        </w:rPr>
        <w:t>• Check repeated entities and feasibility of grouped or temporal facility-month splits, reporting differences from random splitting.</w:t>
      </w:r>
    </w:p>
    <w:p w14:paraId="005EDDBB">
      <w:pPr>
        <w:spacing w:before="0" w:after="65" w:line="276" w:lineRule="auto"/>
        <w:ind w:left="420" w:hanging="220"/>
      </w:pPr>
      <w:r>
        <w:rPr>
          <w:rFonts w:ascii="Aptos" w:hAnsi="Aptos" w:eastAsia="Microsoft YaHei" w:cs="Aptos"/>
          <w:color w:val="000000"/>
          <w:sz w:val="21"/>
          <w:szCs w:val="21"/>
        </w:rPr>
        <w:t>• Define product bands, windows, missing-data handling, MKT parameters and prediction time before the sequence task; prevent overlapping batch windows from leaking across partitions.</w:t>
      </w:r>
    </w:p>
    <w:p w14:paraId="4DB437EB">
      <w:pPr>
        <w:spacing w:before="0" w:after="65" w:line="276" w:lineRule="auto"/>
        <w:ind w:left="420" w:hanging="220"/>
      </w:pPr>
      <w:r>
        <w:rPr>
          <w:rFonts w:ascii="Aptos" w:hAnsi="Aptos" w:eastAsia="Microsoft YaHei" w:cs="Aptos"/>
          <w:color w:val="000000"/>
          <w:sz w:val="21"/>
          <w:szCs w:val="21"/>
        </w:rPr>
        <w:t>• Current demo export infers category from temperature, approximates MKT with one reading and fixes packaging as intact. These mappings cannot validate product stability or an MKT algorithm.</w:t>
      </w:r>
    </w:p>
    <w:p w14:paraId="7789E1B3">
      <w:pPr>
        <w:spacing w:before="0" w:after="65" w:line="276" w:lineRule="auto"/>
        <w:ind w:left="420" w:hanging="220"/>
      </w:pPr>
      <w:r>
        <w:rPr>
          <w:rFonts w:ascii="Aptos" w:hAnsi="Aptos" w:eastAsia="Microsoft YaHei" w:cs="Aptos"/>
          <w:color w:val="000000"/>
          <w:sz w:val="21"/>
          <w:szCs w:val="21"/>
        </w:rPr>
        <w:t>• Threshold-derived labels check event extraction, not the independent domain validity of disposition rules using the same thresholds.</w:t>
      </w:r>
    </w:p>
    <w:p w14:paraId="055290CA">
      <w:pPr>
        <w:spacing w:before="0" w:after="65" w:line="276" w:lineRule="auto"/>
        <w:ind w:left="420" w:hanging="220"/>
      </w:pPr>
      <w:r>
        <w:rPr>
          <w:rFonts w:ascii="Aptos" w:hAnsi="Aptos" w:eastAsia="Microsoft YaHei" w:cs="Aptos"/>
          <w:color w:val="000000"/>
          <w:sz w:val="21"/>
          <w:szCs w:val="21"/>
        </w:rPr>
        <w:t>• OSMnx builds directed distances, times and matching path geometry from cached roads, with source fingerprints. Order and vehicle assumptions are recorded separately.</w:t>
      </w:r>
    </w:p>
    <w:p w14:paraId="76ED7C59">
      <w:pPr>
        <w:keepNext/>
        <w:spacing w:before="260" w:after="100" w:line="300" w:lineRule="auto"/>
      </w:pPr>
      <w:r>
        <w:rPr>
          <w:rFonts w:ascii="Aptos" w:hAnsi="Aptos" w:eastAsia="Microsoft YaHei" w:cs="Aptos"/>
          <w:b/>
          <w:bCs/>
          <w:color w:val="000000"/>
          <w:sz w:val="28"/>
          <w:szCs w:val="28"/>
        </w:rPr>
        <w:t>8. Experiments and Evaluation</w:t>
      </w:r>
    </w:p>
    <w:p w14:paraId="1803CCD8">
      <w:pPr>
        <w:keepNext/>
        <w:spacing w:before="180" w:after="80" w:line="286" w:lineRule="auto"/>
      </w:pPr>
      <w:r>
        <w:rPr>
          <w:rFonts w:ascii="Aptos" w:hAnsi="Aptos" w:eastAsia="Microsoft YaHei" w:cs="Aptos"/>
          <w:b/>
          <w:bCs/>
          <w:color w:val="000000"/>
          <w:sz w:val="24"/>
          <w:szCs w:val="24"/>
        </w:rPr>
        <w:t>8.1 Metrics and Acceptance</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3120"/>
        <w:gridCol w:w="3120"/>
        <w:gridCol w:w="3120"/>
      </w:tblGrid>
      <w:tr>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345AF038">
            <w:pPr>
              <w:spacing w:before="0" w:after="60" w:line="250" w:lineRule="auto"/>
            </w:pPr>
            <w:r>
              <w:rPr>
                <w:rFonts w:ascii="Aptos" w:hAnsi="Aptos" w:eastAsia="Microsoft YaHei" w:cs="Aptos"/>
                <w:b/>
                <w:bCs/>
                <w:color w:val="FFFFFF"/>
                <w:sz w:val="19"/>
                <w:szCs w:val="19"/>
              </w:rPr>
              <w:t>Module</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00F0F948">
            <w:pPr>
              <w:spacing w:before="0" w:after="60" w:line="250" w:lineRule="auto"/>
            </w:pPr>
            <w:r>
              <w:rPr>
                <w:rFonts w:ascii="Aptos" w:hAnsi="Aptos" w:eastAsia="Microsoft YaHei" w:cs="Aptos"/>
                <w:b/>
                <w:bCs/>
                <w:color w:val="FFFFFF"/>
                <w:sz w:val="19"/>
                <w:szCs w:val="19"/>
              </w:rPr>
              <w:t>Metrics and checks</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0717888E">
            <w:pPr>
              <w:spacing w:before="0" w:after="60" w:line="250" w:lineRule="auto"/>
            </w:pPr>
            <w:r>
              <w:rPr>
                <w:rFonts w:ascii="Aptos" w:hAnsi="Aptos" w:eastAsia="Microsoft YaHei" w:cs="Aptos"/>
                <w:b/>
                <w:bCs/>
                <w:color w:val="FFFFFF"/>
                <w:sz w:val="19"/>
                <w:szCs w:val="19"/>
              </w:rPr>
              <w:t>Interpretation boundary</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BC2EB0B">
            <w:pPr>
              <w:spacing w:before="0" w:after="60" w:line="250" w:lineRule="auto"/>
            </w:pPr>
            <w:r>
              <w:rPr>
                <w:rFonts w:ascii="Aptos" w:hAnsi="Aptos" w:eastAsia="Microsoft YaHei" w:cs="Aptos"/>
                <w:color w:val="000000"/>
                <w:sz w:val="19"/>
                <w:szCs w:val="19"/>
              </w:rPr>
              <w:t>Risk classification</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21C19D6">
            <w:pPr>
              <w:spacing w:before="0" w:after="60" w:line="250" w:lineRule="auto"/>
            </w:pPr>
            <w:r>
              <w:rPr>
                <w:rFonts w:ascii="Aptos" w:hAnsi="Aptos" w:eastAsia="Microsoft YaHei" w:cs="Aptos"/>
                <w:color w:val="000000"/>
                <w:sz w:val="19"/>
                <w:szCs w:val="19"/>
              </w:rPr>
              <w:t>F1, ROC-AUC, PR-AUC, precision/recall, multi-fold mean and standard deviation</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FCD48EE">
            <w:pPr>
              <w:spacing w:before="0" w:after="60" w:line="250" w:lineRule="auto"/>
            </w:pPr>
            <w:r>
              <w:rPr>
                <w:rFonts w:ascii="Aptos" w:hAnsi="Aptos" w:eastAsia="Microsoft YaHei" w:cs="Aptos"/>
                <w:color w:val="000000"/>
                <w:sz w:val="19"/>
                <w:szCs w:val="19"/>
              </w:rPr>
              <w:t>No undefined early-warning metric</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8B142E5">
            <w:pPr>
              <w:spacing w:before="0" w:after="60" w:line="250" w:lineRule="auto"/>
            </w:pPr>
            <w:r>
              <w:rPr>
                <w:rFonts w:ascii="Aptos" w:hAnsi="Aptos" w:eastAsia="Microsoft YaHei" w:cs="Aptos"/>
                <w:color w:val="000000"/>
                <w:sz w:val="19"/>
                <w:szCs w:val="19"/>
              </w:rPr>
              <w:t>Disposition rules</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BB85918">
            <w:pPr>
              <w:spacing w:before="0" w:after="60" w:line="250" w:lineRule="auto"/>
            </w:pPr>
            <w:r>
              <w:rPr>
                <w:rFonts w:ascii="Aptos" w:hAnsi="Aptos" w:eastAsia="Microsoft YaHei" w:cs="Aptos"/>
                <w:color w:val="000000"/>
                <w:sz w:val="19"/>
                <w:szCs w:val="19"/>
              </w:rPr>
              <w:t>Gold agreement, macro-F1, class recall, confusion matrix, κ and rule coverage</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1B6A342">
            <w:pPr>
              <w:spacing w:before="0" w:after="60" w:line="250" w:lineRule="auto"/>
            </w:pPr>
            <w:r>
              <w:rPr>
                <w:rFonts w:ascii="Aptos" w:hAnsi="Aptos" w:eastAsia="Microsoft YaHei" w:cs="Aptos"/>
                <w:color w:val="000000"/>
                <w:sz w:val="19"/>
                <w:szCs w:val="19"/>
              </w:rPr>
              <w:t>Separate implementation fidelity, human agreement and domain validity</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4F38380">
            <w:pPr>
              <w:spacing w:before="0" w:after="60" w:line="250" w:lineRule="auto"/>
            </w:pPr>
            <w:r>
              <w:rPr>
                <w:rFonts w:ascii="Aptos" w:hAnsi="Aptos" w:eastAsia="Microsoft YaHei" w:cs="Aptos"/>
                <w:color w:val="000000"/>
                <w:sz w:val="19"/>
                <w:szCs w:val="19"/>
              </w:rPr>
              <w:t>Reshipment</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7585B39">
            <w:pPr>
              <w:spacing w:before="0" w:after="60" w:line="250" w:lineRule="auto"/>
            </w:pPr>
            <w:r>
              <w:rPr>
                <w:rFonts w:ascii="Aptos" w:hAnsi="Aptos" w:eastAsia="Microsoft YaHei" w:cs="Aptos"/>
                <w:color w:val="000000"/>
                <w:sz w:val="19"/>
                <w:szCs w:val="19"/>
              </w:rPr>
              <w:t>Policy agreement, order creation and duplicate triggering</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5C93C1">
            <w:pPr>
              <w:spacing w:before="0" w:after="60" w:line="250" w:lineRule="auto"/>
            </w:pPr>
            <w:r>
              <w:rPr>
                <w:rFonts w:ascii="Aptos" w:hAnsi="Aptos" w:eastAsia="Microsoft YaHei" w:cs="Aptos"/>
                <w:color w:val="000000"/>
                <w:sz w:val="19"/>
                <w:szCs w:val="19"/>
              </w:rPr>
              <w:t>Evaluate separately from the four dispositions</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D51B736">
            <w:pPr>
              <w:spacing w:before="0" w:after="60" w:line="250" w:lineRule="auto"/>
            </w:pPr>
            <w:r>
              <w:rPr>
                <w:rFonts w:ascii="Aptos" w:hAnsi="Aptos" w:eastAsia="Microsoft YaHei" w:cs="Aptos"/>
                <w:color w:val="000000"/>
                <w:sz w:val="19"/>
                <w:szCs w:val="19"/>
              </w:rPr>
              <w:t>Candidate causes</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228D25C8">
            <w:pPr>
              <w:spacing w:before="0" w:after="60" w:line="250" w:lineRule="auto"/>
            </w:pPr>
            <w:r>
              <w:rPr>
                <w:rFonts w:ascii="Aptos" w:hAnsi="Aptos" w:eastAsia="Microsoft YaHei" w:cs="Aptos"/>
                <w:color w:val="000000"/>
                <w:sz w:val="19"/>
                <w:szCs w:val="19"/>
              </w:rPr>
              <w:t>Top-1, Top-3, macro-F1, support and failures</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70878B6">
            <w:pPr>
              <w:spacing w:before="0" w:after="60" w:line="250" w:lineRule="auto"/>
            </w:pPr>
            <w:r>
              <w:rPr>
                <w:rFonts w:ascii="Aptos" w:hAnsi="Aptos" w:eastAsia="Microsoft YaHei" w:cs="Aptos"/>
                <w:color w:val="000000"/>
                <w:sz w:val="19"/>
                <w:szCs w:val="19"/>
              </w:rPr>
              <w:t>Simulation classification is not causal diagnosis</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67F30BC">
            <w:pPr>
              <w:spacing w:before="0" w:after="60" w:line="250" w:lineRule="auto"/>
            </w:pPr>
            <w:r>
              <w:rPr>
                <w:rFonts w:ascii="Aptos" w:hAnsi="Aptos" w:eastAsia="Microsoft YaHei" w:cs="Aptos"/>
                <w:color w:val="000000"/>
                <w:sz w:val="19"/>
                <w:szCs w:val="19"/>
              </w:rPr>
              <w:t>Routing</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C0257A8">
            <w:pPr>
              <w:spacing w:before="0" w:after="60" w:line="250" w:lineRule="auto"/>
            </w:pPr>
            <w:r>
              <w:rPr>
                <w:rFonts w:ascii="Aptos" w:hAnsi="Aptos" w:eastAsia="Microsoft YaHei" w:cs="Aptos"/>
                <w:color w:val="000000"/>
                <w:sz w:val="19"/>
                <w:szCs w:val="19"/>
              </w:rPr>
              <w:t>Distance, vehicles, summed duration, on-time rate, unserved orders, violations and runtime</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6EC531C">
            <w:pPr>
              <w:spacing w:before="0" w:after="60" w:line="250" w:lineRule="auto"/>
            </w:pPr>
            <w:r>
              <w:rPr>
                <w:rFonts w:ascii="Aptos" w:hAnsi="Aptos" w:eastAsia="Microsoft YaHei" w:cs="Aptos"/>
                <w:color w:val="000000"/>
                <w:sz w:val="19"/>
                <w:szCs w:val="19"/>
              </w:rPr>
              <w:t>Same instance, constraints and fixed budget</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4FBD993">
            <w:pPr>
              <w:spacing w:before="0" w:after="60" w:line="250" w:lineRule="auto"/>
            </w:pPr>
            <w:r>
              <w:rPr>
                <w:rFonts w:ascii="Aptos" w:hAnsi="Aptos" w:eastAsia="Microsoft YaHei" w:cs="Aptos"/>
                <w:color w:val="000000"/>
                <w:sz w:val="19"/>
                <w:szCs w:val="19"/>
              </w:rPr>
              <w:t>Graph QA</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99E1D6C">
            <w:pPr>
              <w:spacing w:before="0" w:after="60" w:line="250" w:lineRule="auto"/>
            </w:pPr>
            <w:r>
              <w:rPr>
                <w:rFonts w:ascii="Aptos" w:hAnsi="Aptos" w:eastAsia="Microsoft YaHei" w:cs="Aptos"/>
                <w:color w:val="000000"/>
                <w:sz w:val="19"/>
                <w:szCs w:val="19"/>
              </w:rPr>
              <w:t>Correctness, case-relevant evidence coverage, no-evidence refusal and latency</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2ED40A6C">
            <w:pPr>
              <w:spacing w:before="0" w:after="60" w:line="250" w:lineRule="auto"/>
            </w:pPr>
            <w:r>
              <w:rPr>
                <w:rFonts w:ascii="Aptos" w:hAnsi="Aptos" w:eastAsia="Microsoft YaHei" w:cs="Aptos"/>
                <w:color w:val="000000"/>
                <w:sz w:val="19"/>
                <w:szCs w:val="19"/>
              </w:rPr>
              <w:t>Citation count is not relevance</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2B16A98">
            <w:pPr>
              <w:spacing w:before="0" w:after="60" w:line="250" w:lineRule="auto"/>
            </w:pPr>
            <w:r>
              <w:rPr>
                <w:rFonts w:ascii="Aptos" w:hAnsi="Aptos" w:eastAsia="Microsoft YaHei" w:cs="Aptos"/>
                <w:color w:val="000000"/>
                <w:sz w:val="19"/>
                <w:szCs w:val="19"/>
              </w:rPr>
              <w:t>System</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C37F9EE">
            <w:pPr>
              <w:spacing w:before="0" w:after="60" w:line="250" w:lineRule="auto"/>
            </w:pPr>
            <w:r>
              <w:rPr>
                <w:rFonts w:ascii="Aptos" w:hAnsi="Aptos" w:eastAsia="Microsoft YaHei" w:cs="Aptos"/>
                <w:color w:val="000000"/>
                <w:sz w:val="19"/>
                <w:szCs w:val="19"/>
              </w:rPr>
              <w:t>End-to-end latency, identifiers, snapshot completeness and recovery</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D9D15B">
            <w:pPr>
              <w:spacing w:before="0" w:after="60" w:line="250" w:lineRule="auto"/>
            </w:pPr>
            <w:r>
              <w:rPr>
                <w:rFonts w:ascii="Aptos" w:hAnsi="Aptos" w:eastAsia="Microsoft YaHei" w:cs="Aptos"/>
                <w:color w:val="000000"/>
                <w:sz w:val="19"/>
                <w:szCs w:val="19"/>
              </w:rPr>
              <w:t>Separate preview, solving and closure timing</w:t>
            </w:r>
          </w:p>
        </w:tc>
      </w:tr>
    </w:tbl>
    <w:p w14:paraId="0DBC7A7E">
      <w:pPr>
        <w:spacing w:before="0" w:after="95" w:line="276" w:lineRule="auto"/>
      </w:pPr>
      <w:r>
        <w:rPr>
          <w:rFonts w:ascii="Aptos" w:hAnsi="Aptos" w:eastAsia="Microsoft YaHei" w:cs="Aptos"/>
          <w:color w:val="000000"/>
          <w:sz w:val="21"/>
          <w:szCs w:val="21"/>
        </w:rPr>
        <w:t>Routing reports unserved orders alongside on-time rates to avoid hiding failures. Published Solomon solutions require aligned fleet objectives, distance precision and constraints; one Singapore result does not establish operational savings. System acceptance covers reshipment, no reshipment, infeasibility, missing evidence, service failure and repeated closure.</w:t>
      </w:r>
    </w:p>
    <w:p w14:paraId="3A119C4A">
      <w:pPr>
        <w:keepNext/>
        <w:spacing w:before="180" w:after="80" w:line="286" w:lineRule="auto"/>
      </w:pPr>
      <w:r>
        <w:rPr>
          <w:rFonts w:ascii="Aptos" w:hAnsi="Aptos" w:eastAsia="Microsoft YaHei" w:cs="Aptos"/>
          <w:b/>
          <w:bCs/>
          <w:color w:val="000000"/>
          <w:sz w:val="24"/>
          <w:szCs w:val="24"/>
        </w:rPr>
        <w:t>8.2 Baselines and Preliminary Results</w:t>
      </w:r>
    </w:p>
    <w:p w14:paraId="3E6F4DE3">
      <w:pPr>
        <w:spacing w:before="0" w:after="95" w:line="276" w:lineRule="auto"/>
      </w:pPr>
      <w:r>
        <w:rPr>
          <w:rFonts w:ascii="Aptos" w:hAnsi="Aptos" w:eastAsia="Microsoft YaHei" w:cs="Aptos"/>
          <w:color w:val="000000"/>
          <w:sz w:val="21"/>
          <w:szCs w:val="21"/>
        </w:rPr>
        <w:t>The following risk results were reproduced on 2026-09-13 by scripts/train_risk_full.py in the repository environment recorded in requirements.txt (seed 42). The data are suspected synthetic and the results describe that dataset, not real-world effectiveness. These are single-split results, not completed multi-fold evaluation.</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1872"/>
        <w:gridCol w:w="1872"/>
        <w:gridCol w:w="1872"/>
        <w:gridCol w:w="1872"/>
        <w:gridCol w:w="1872"/>
      </w:tblGrid>
      <w:tr>
        <w:tc>
          <w:tcPr>
            <w:tcW w:w="1872"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0C3066F0">
            <w:pPr>
              <w:spacing w:before="0" w:after="60" w:line="250" w:lineRule="auto"/>
            </w:pPr>
            <w:r>
              <w:rPr>
                <w:rFonts w:ascii="Aptos" w:hAnsi="Aptos" w:eastAsia="Microsoft YaHei" w:cs="Aptos"/>
                <w:b/>
                <w:bCs/>
                <w:color w:val="FFFFFF"/>
                <w:sz w:val="19"/>
                <w:szCs w:val="19"/>
              </w:rPr>
              <w:t>Risk model, interpretable features</w:t>
            </w:r>
          </w:p>
        </w:tc>
        <w:tc>
          <w:tcPr>
            <w:tcW w:w="1872"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0614708F">
            <w:pPr>
              <w:spacing w:before="0" w:after="60" w:line="250" w:lineRule="auto"/>
            </w:pPr>
            <w:r>
              <w:rPr>
                <w:rFonts w:ascii="Aptos" w:hAnsi="Aptos" w:eastAsia="Microsoft YaHei" w:cs="Aptos"/>
                <w:b/>
                <w:bCs/>
                <w:color w:val="FFFFFF"/>
                <w:sz w:val="19"/>
                <w:szCs w:val="19"/>
              </w:rPr>
              <w:t>Validation threshold</w:t>
            </w:r>
          </w:p>
        </w:tc>
        <w:tc>
          <w:tcPr>
            <w:tcW w:w="1872"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1842CE3C">
            <w:pPr>
              <w:spacing w:before="0" w:after="60" w:line="250" w:lineRule="auto"/>
            </w:pPr>
            <w:r>
              <w:rPr>
                <w:rFonts w:ascii="Aptos" w:hAnsi="Aptos" w:eastAsia="Microsoft YaHei" w:cs="Aptos"/>
                <w:b/>
                <w:bCs/>
                <w:color w:val="FFFFFF"/>
                <w:sz w:val="19"/>
                <w:szCs w:val="19"/>
              </w:rPr>
              <w:t>F1</w:t>
            </w:r>
          </w:p>
        </w:tc>
        <w:tc>
          <w:tcPr>
            <w:tcW w:w="1872"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4C79676B">
            <w:pPr>
              <w:spacing w:before="0" w:after="60" w:line="250" w:lineRule="auto"/>
            </w:pPr>
            <w:r>
              <w:rPr>
                <w:rFonts w:ascii="Aptos" w:hAnsi="Aptos" w:eastAsia="Microsoft YaHei" w:cs="Aptos"/>
                <w:b/>
                <w:bCs/>
                <w:color w:val="FFFFFF"/>
                <w:sz w:val="19"/>
                <w:szCs w:val="19"/>
              </w:rPr>
              <w:t>ROC-AUC</w:t>
            </w:r>
          </w:p>
        </w:tc>
        <w:tc>
          <w:tcPr>
            <w:tcW w:w="1872"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25959EDC">
            <w:pPr>
              <w:spacing w:before="0" w:after="60" w:line="250" w:lineRule="auto"/>
            </w:pPr>
            <w:r>
              <w:rPr>
                <w:rFonts w:ascii="Aptos" w:hAnsi="Aptos" w:eastAsia="Microsoft YaHei" w:cs="Aptos"/>
                <w:b/>
                <w:bCs/>
                <w:color w:val="FFFFFF"/>
                <w:sz w:val="19"/>
                <w:szCs w:val="19"/>
              </w:rPr>
              <w:t>PR-AUC</w:t>
            </w:r>
          </w:p>
        </w:tc>
      </w:tr>
      <w:tr>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0698CAD">
            <w:pPr>
              <w:spacing w:before="0" w:after="60" w:line="250" w:lineRule="auto"/>
            </w:pPr>
            <w:r>
              <w:rPr>
                <w:rFonts w:ascii="Aptos" w:hAnsi="Aptos" w:eastAsia="Microsoft YaHei" w:cs="Aptos"/>
                <w:color w:val="000000"/>
                <w:sz w:val="19"/>
                <w:szCs w:val="19"/>
              </w:rPr>
              <w:t>Logistic regression</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F56BD58">
            <w:pPr>
              <w:spacing w:before="0" w:after="60" w:line="250" w:lineRule="auto"/>
            </w:pPr>
            <w:r>
              <w:rPr>
                <w:rFonts w:ascii="Aptos" w:hAnsi="Aptos" w:eastAsia="Microsoft YaHei" w:cs="Aptos"/>
                <w:color w:val="000000"/>
                <w:sz w:val="19"/>
                <w:szCs w:val="19"/>
              </w:rPr>
              <w:t>0.55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E6EF63">
            <w:pPr>
              <w:spacing w:before="0" w:after="60" w:line="250" w:lineRule="auto"/>
            </w:pPr>
            <w:r>
              <w:rPr>
                <w:rFonts w:ascii="Aptos" w:hAnsi="Aptos" w:eastAsia="Microsoft YaHei" w:cs="Aptos"/>
                <w:color w:val="000000"/>
                <w:sz w:val="19"/>
                <w:szCs w:val="19"/>
              </w:rPr>
              <w:t>0.626</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B41D030">
            <w:pPr>
              <w:spacing w:before="0" w:after="60" w:line="250" w:lineRule="auto"/>
            </w:pPr>
            <w:r>
              <w:rPr>
                <w:rFonts w:ascii="Aptos" w:hAnsi="Aptos" w:eastAsia="Microsoft YaHei" w:cs="Aptos"/>
                <w:color w:val="000000"/>
                <w:sz w:val="19"/>
                <w:szCs w:val="19"/>
              </w:rPr>
              <w:t>0.891</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52E5145">
            <w:pPr>
              <w:spacing w:before="0" w:after="60" w:line="250" w:lineRule="auto"/>
            </w:pPr>
            <w:r>
              <w:rPr>
                <w:rFonts w:ascii="Aptos" w:hAnsi="Aptos" w:eastAsia="Microsoft YaHei" w:cs="Aptos"/>
                <w:color w:val="000000"/>
                <w:sz w:val="19"/>
                <w:szCs w:val="19"/>
              </w:rPr>
              <w:t>0.651</w:t>
            </w:r>
          </w:p>
        </w:tc>
      </w:tr>
      <w:tr>
        <w:tc>
          <w:tcPr>
            <w:tcW w:w="1872"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2E91F52B">
            <w:pPr>
              <w:spacing w:before="0" w:after="60" w:line="250" w:lineRule="auto"/>
            </w:pPr>
            <w:r>
              <w:rPr>
                <w:rFonts w:ascii="Aptos" w:hAnsi="Aptos" w:eastAsia="Microsoft YaHei" w:cs="Aptos"/>
                <w:color w:val="000000"/>
                <w:sz w:val="19"/>
                <w:szCs w:val="19"/>
              </w:rPr>
              <w:t>LightGBM</w:t>
            </w:r>
          </w:p>
        </w:tc>
        <w:tc>
          <w:tcPr>
            <w:tcW w:w="1872"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2F452A3B">
            <w:pPr>
              <w:spacing w:before="0" w:after="60" w:line="250" w:lineRule="auto"/>
            </w:pPr>
            <w:r>
              <w:rPr>
                <w:rFonts w:ascii="Aptos" w:hAnsi="Aptos" w:eastAsia="Microsoft YaHei" w:cs="Aptos"/>
                <w:color w:val="000000"/>
                <w:sz w:val="19"/>
                <w:szCs w:val="19"/>
              </w:rPr>
              <w:t>0.50</w:t>
            </w:r>
          </w:p>
        </w:tc>
        <w:tc>
          <w:tcPr>
            <w:tcW w:w="1872"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E63C11D">
            <w:pPr>
              <w:spacing w:before="0" w:after="60" w:line="250" w:lineRule="auto"/>
            </w:pPr>
            <w:r>
              <w:rPr>
                <w:rFonts w:ascii="Aptos" w:hAnsi="Aptos" w:eastAsia="Microsoft YaHei" w:cs="Aptos"/>
                <w:color w:val="000000"/>
                <w:sz w:val="19"/>
                <w:szCs w:val="19"/>
              </w:rPr>
              <w:t>0.691</w:t>
            </w:r>
          </w:p>
        </w:tc>
        <w:tc>
          <w:tcPr>
            <w:tcW w:w="1872"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DA0CCFA">
            <w:pPr>
              <w:spacing w:before="0" w:after="60" w:line="250" w:lineRule="auto"/>
            </w:pPr>
            <w:r>
              <w:rPr>
                <w:rFonts w:ascii="Aptos" w:hAnsi="Aptos" w:eastAsia="Microsoft YaHei" w:cs="Aptos"/>
                <w:color w:val="000000"/>
                <w:sz w:val="19"/>
                <w:szCs w:val="19"/>
              </w:rPr>
              <w:t>0.925</w:t>
            </w:r>
          </w:p>
        </w:tc>
        <w:tc>
          <w:tcPr>
            <w:tcW w:w="1872"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7B9E9EE">
            <w:pPr>
              <w:spacing w:before="0" w:after="60" w:line="250" w:lineRule="auto"/>
            </w:pPr>
            <w:r>
              <w:rPr>
                <w:rFonts w:ascii="Aptos" w:hAnsi="Aptos" w:eastAsia="Microsoft YaHei" w:cs="Aptos"/>
                <w:color w:val="000000"/>
                <w:sz w:val="19"/>
                <w:szCs w:val="19"/>
              </w:rPr>
              <w:t>0.754</w:t>
            </w:r>
          </w:p>
        </w:tc>
      </w:tr>
      <w:tr>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442D90A">
            <w:pPr>
              <w:spacing w:before="0" w:after="60" w:line="250" w:lineRule="auto"/>
            </w:pPr>
            <w:r>
              <w:rPr>
                <w:rFonts w:ascii="Aptos" w:hAnsi="Aptos" w:eastAsia="Microsoft YaHei" w:cs="Aptos"/>
                <w:color w:val="000000"/>
                <w:sz w:val="19"/>
                <w:szCs w:val="19"/>
              </w:rPr>
              <w:t>XGBoost</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43630D0">
            <w:pPr>
              <w:spacing w:before="0" w:after="60" w:line="250" w:lineRule="auto"/>
            </w:pPr>
            <w:r>
              <w:rPr>
                <w:rFonts w:ascii="Aptos" w:hAnsi="Aptos" w:eastAsia="Microsoft YaHei" w:cs="Aptos"/>
                <w:color w:val="000000"/>
                <w:sz w:val="19"/>
                <w:szCs w:val="19"/>
              </w:rPr>
              <w:t>0.45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77295F0">
            <w:pPr>
              <w:spacing w:before="0" w:after="60" w:line="250" w:lineRule="auto"/>
            </w:pPr>
            <w:r>
              <w:rPr>
                <w:rFonts w:ascii="Aptos" w:hAnsi="Aptos" w:eastAsia="Microsoft YaHei" w:cs="Aptos"/>
                <w:color w:val="000000"/>
                <w:sz w:val="19"/>
                <w:szCs w:val="19"/>
              </w:rPr>
              <w:t>0.685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72309E">
            <w:pPr>
              <w:spacing w:before="0" w:after="60" w:line="250" w:lineRule="auto"/>
            </w:pPr>
            <w:r>
              <w:rPr>
                <w:rFonts w:ascii="Aptos" w:hAnsi="Aptos" w:eastAsia="Microsoft YaHei" w:cs="Aptos"/>
                <w:color w:val="000000"/>
                <w:sz w:val="19"/>
                <w:szCs w:val="19"/>
              </w:rPr>
              <w:t>0.922</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BEC305D">
            <w:pPr>
              <w:spacing w:before="0" w:after="60" w:line="250" w:lineRule="auto"/>
            </w:pPr>
            <w:r>
              <w:rPr>
                <w:rFonts w:ascii="Aptos" w:hAnsi="Aptos" w:eastAsia="Microsoft YaHei" w:cs="Aptos"/>
                <w:color w:val="000000"/>
                <w:sz w:val="19"/>
                <w:szCs w:val="19"/>
              </w:rPr>
              <w:t>0.731</w:t>
            </w:r>
          </w:p>
        </w:tc>
      </w:tr>
    </w:tbl>
    <w:p w14:paraId="03DB75B6">
      <w:pPr>
        <w:spacing w:before="0" w:after="95" w:line="276" w:lineRule="auto"/>
      </w:pPr>
      <w:r>
        <w:rPr>
          <w:rFonts w:ascii="Aptos" w:hAnsi="Aptos" w:eastAsia="Microsoft YaHei" w:cs="Aptos"/>
          <w:color w:val="000000"/>
          <w:sz w:val="21"/>
          <w:szCs w:val="21"/>
        </w:rPr>
        <w:t>For causes, LightGBM recorded Top-1=0.143, Top-3=0.421 and macro-F1=0.125. The majority baseline recorded Top-1=0.161, Top-3=0.284 and macro-F1=0.028. Top-1 did not exceed the majority baseline, supporting further work on candidate ranking and features rather than a claim of reliable diagnosis. Formal evaluation must define an unambiguous Top-3 baseline and tie handling.</w:t>
      </w:r>
    </w:p>
    <w:p w14:paraId="0A873949">
      <w:pPr>
        <w:spacing w:before="0" w:after="95" w:line="276" w:lineRule="auto"/>
      </w:pPr>
      <w:r>
        <w:rPr>
          <w:rFonts w:ascii="Aptos" w:hAnsi="Aptos" w:eastAsia="Microsoft YaHei" w:cs="Aptos"/>
          <w:color w:val="000000"/>
          <w:sz w:val="21"/>
          <w:szCs w:val="21"/>
        </w:rPr>
        <w:t>Recorded Singapore results from 2026-09-10:</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1560"/>
        <w:gridCol w:w="1560"/>
        <w:gridCol w:w="1560"/>
        <w:gridCol w:w="1560"/>
        <w:gridCol w:w="1560"/>
        <w:gridCol w:w="1560"/>
      </w:tblGrid>
      <w:tr>
        <w:tc>
          <w:tcPr>
            <w:tcW w:w="156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2BB63AC9">
            <w:pPr>
              <w:spacing w:before="0" w:after="60" w:line="250" w:lineRule="auto"/>
            </w:pPr>
            <w:r>
              <w:rPr>
                <w:rFonts w:ascii="Aptos" w:hAnsi="Aptos" w:eastAsia="Microsoft YaHei" w:cs="Aptos"/>
                <w:b/>
                <w:bCs/>
                <w:color w:val="FFFFFF"/>
                <w:sz w:val="19"/>
                <w:szCs w:val="19"/>
              </w:rPr>
              <w:t>Algorithm</w:t>
            </w:r>
          </w:p>
        </w:tc>
        <w:tc>
          <w:tcPr>
            <w:tcW w:w="156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14FE47A8">
            <w:pPr>
              <w:spacing w:before="0" w:after="60" w:line="250" w:lineRule="auto"/>
            </w:pPr>
            <w:r>
              <w:rPr>
                <w:rFonts w:ascii="Aptos" w:hAnsi="Aptos" w:eastAsia="Microsoft YaHei" w:cs="Aptos"/>
                <w:b/>
                <w:bCs/>
                <w:color w:val="FFFFFF"/>
                <w:sz w:val="19"/>
                <w:szCs w:val="19"/>
              </w:rPr>
              <w:t>Vehicles used</w:t>
            </w:r>
          </w:p>
        </w:tc>
        <w:tc>
          <w:tcPr>
            <w:tcW w:w="156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7B9E24A6">
            <w:pPr>
              <w:spacing w:before="0" w:after="60" w:line="250" w:lineRule="auto"/>
            </w:pPr>
            <w:r>
              <w:rPr>
                <w:rFonts w:ascii="Aptos" w:hAnsi="Aptos" w:eastAsia="Microsoft YaHei" w:cs="Aptos"/>
                <w:b/>
                <w:bCs/>
                <w:color w:val="FFFFFF"/>
                <w:sz w:val="19"/>
                <w:szCs w:val="19"/>
              </w:rPr>
              <w:t>Customers served</w:t>
            </w:r>
          </w:p>
        </w:tc>
        <w:tc>
          <w:tcPr>
            <w:tcW w:w="156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7094140B">
            <w:pPr>
              <w:spacing w:before="0" w:after="60" w:line="250" w:lineRule="auto"/>
            </w:pPr>
            <w:r>
              <w:rPr>
                <w:rFonts w:ascii="Aptos" w:hAnsi="Aptos" w:eastAsia="Microsoft YaHei" w:cs="Aptos"/>
                <w:b/>
                <w:bCs/>
                <w:color w:val="FFFFFF"/>
                <w:sz w:val="19"/>
                <w:szCs w:val="19"/>
              </w:rPr>
              <w:t>Distance km</w:t>
            </w:r>
          </w:p>
        </w:tc>
        <w:tc>
          <w:tcPr>
            <w:tcW w:w="156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7A9DF02A">
            <w:pPr>
              <w:spacing w:before="0" w:after="60" w:line="250" w:lineRule="auto"/>
            </w:pPr>
            <w:r>
              <w:rPr>
                <w:rFonts w:ascii="Aptos" w:hAnsi="Aptos" w:eastAsia="Microsoft YaHei" w:cs="Aptos"/>
                <w:b/>
                <w:bCs/>
                <w:color w:val="FFFFFF"/>
                <w:sz w:val="19"/>
                <w:szCs w:val="19"/>
              </w:rPr>
              <w:t>Summed route duration min</w:t>
            </w:r>
          </w:p>
        </w:tc>
        <w:tc>
          <w:tcPr>
            <w:tcW w:w="156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4F911C82">
            <w:pPr>
              <w:spacing w:before="0" w:after="60" w:line="250" w:lineRule="auto"/>
            </w:pPr>
            <w:r>
              <w:rPr>
                <w:rFonts w:ascii="Aptos" w:hAnsi="Aptos" w:eastAsia="Microsoft YaHei" w:cs="Aptos"/>
                <w:b/>
                <w:bCs/>
                <w:color w:val="FFFFFF"/>
                <w:sz w:val="19"/>
                <w:szCs w:val="19"/>
              </w:rPr>
              <w:t>Violations / unserved</w:t>
            </w:r>
          </w:p>
        </w:tc>
      </w:tr>
      <w:tr>
        <w:tc>
          <w:tcPr>
            <w:tcW w:w="15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97D6734">
            <w:pPr>
              <w:spacing w:before="0" w:after="60" w:line="250" w:lineRule="auto"/>
            </w:pPr>
            <w:r>
              <w:rPr>
                <w:rFonts w:ascii="Aptos" w:hAnsi="Aptos" w:eastAsia="Microsoft YaHei" w:cs="Aptos"/>
                <w:color w:val="000000"/>
                <w:sz w:val="19"/>
                <w:szCs w:val="19"/>
              </w:rPr>
              <w:t>Greedy</w:t>
            </w:r>
          </w:p>
        </w:tc>
        <w:tc>
          <w:tcPr>
            <w:tcW w:w="15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9373E1E">
            <w:pPr>
              <w:spacing w:before="0" w:after="60" w:line="250" w:lineRule="auto"/>
            </w:pPr>
            <w:r>
              <w:rPr>
                <w:rFonts w:ascii="Aptos" w:hAnsi="Aptos" w:eastAsia="Microsoft YaHei" w:cs="Aptos"/>
                <w:color w:val="000000"/>
                <w:sz w:val="19"/>
                <w:szCs w:val="19"/>
              </w:rPr>
              <w:t>2</w:t>
            </w:r>
          </w:p>
        </w:tc>
        <w:tc>
          <w:tcPr>
            <w:tcW w:w="15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86D518">
            <w:pPr>
              <w:spacing w:before="0" w:after="60" w:line="250" w:lineRule="auto"/>
            </w:pPr>
            <w:r>
              <w:rPr>
                <w:rFonts w:ascii="Aptos" w:hAnsi="Aptos" w:eastAsia="Microsoft YaHei" w:cs="Aptos"/>
                <w:color w:val="000000"/>
                <w:sz w:val="19"/>
                <w:szCs w:val="19"/>
              </w:rPr>
              <w:t>10</w:t>
            </w:r>
          </w:p>
        </w:tc>
        <w:tc>
          <w:tcPr>
            <w:tcW w:w="15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C2364BD">
            <w:pPr>
              <w:spacing w:before="0" w:after="60" w:line="250" w:lineRule="auto"/>
            </w:pPr>
            <w:r>
              <w:rPr>
                <w:rFonts w:ascii="Aptos" w:hAnsi="Aptos" w:eastAsia="Microsoft YaHei" w:cs="Aptos"/>
                <w:color w:val="000000"/>
                <w:sz w:val="19"/>
                <w:szCs w:val="19"/>
              </w:rPr>
              <w:t>142.6305</w:t>
            </w:r>
          </w:p>
        </w:tc>
        <w:tc>
          <w:tcPr>
            <w:tcW w:w="15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9273CC8">
            <w:pPr>
              <w:spacing w:before="0" w:after="60" w:line="250" w:lineRule="auto"/>
            </w:pPr>
            <w:r>
              <w:rPr>
                <w:rFonts w:ascii="Aptos" w:hAnsi="Aptos" w:eastAsia="Microsoft YaHei" w:cs="Aptos"/>
                <w:color w:val="000000"/>
                <w:sz w:val="19"/>
                <w:szCs w:val="19"/>
              </w:rPr>
              <w:t>364.6972</w:t>
            </w:r>
          </w:p>
        </w:tc>
        <w:tc>
          <w:tcPr>
            <w:tcW w:w="15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2EE30AC">
            <w:pPr>
              <w:spacing w:before="0" w:after="60" w:line="250" w:lineRule="auto"/>
            </w:pPr>
            <w:r>
              <w:rPr>
                <w:rFonts w:ascii="Aptos" w:hAnsi="Aptos" w:eastAsia="Microsoft YaHei" w:cs="Aptos"/>
                <w:color w:val="000000"/>
                <w:sz w:val="19"/>
                <w:szCs w:val="19"/>
              </w:rPr>
              <w:t>0 / 0</w:t>
            </w:r>
          </w:p>
        </w:tc>
      </w:tr>
      <w:tr>
        <w:tc>
          <w:tcPr>
            <w:tcW w:w="156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0DE50AE">
            <w:pPr>
              <w:spacing w:before="0" w:after="60" w:line="250" w:lineRule="auto"/>
            </w:pPr>
            <w:r>
              <w:rPr>
                <w:rFonts w:ascii="Aptos" w:hAnsi="Aptos" w:eastAsia="Microsoft YaHei" w:cs="Aptos"/>
                <w:color w:val="000000"/>
                <w:sz w:val="19"/>
                <w:szCs w:val="19"/>
              </w:rPr>
              <w:t>OR-Tools Routing, 10 seconds</w:t>
            </w:r>
          </w:p>
        </w:tc>
        <w:tc>
          <w:tcPr>
            <w:tcW w:w="156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E8F4BF0">
            <w:pPr>
              <w:spacing w:before="0" w:after="60" w:line="250" w:lineRule="auto"/>
            </w:pPr>
            <w:r>
              <w:rPr>
                <w:rFonts w:ascii="Aptos" w:hAnsi="Aptos" w:eastAsia="Microsoft YaHei" w:cs="Aptos"/>
                <w:color w:val="000000"/>
                <w:sz w:val="19"/>
                <w:szCs w:val="19"/>
              </w:rPr>
              <w:t>2</w:t>
            </w:r>
          </w:p>
        </w:tc>
        <w:tc>
          <w:tcPr>
            <w:tcW w:w="156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D243D9D">
            <w:pPr>
              <w:spacing w:before="0" w:after="60" w:line="250" w:lineRule="auto"/>
            </w:pPr>
            <w:r>
              <w:rPr>
                <w:rFonts w:ascii="Aptos" w:hAnsi="Aptos" w:eastAsia="Microsoft YaHei" w:cs="Aptos"/>
                <w:color w:val="000000"/>
                <w:sz w:val="19"/>
                <w:szCs w:val="19"/>
              </w:rPr>
              <w:t>10</w:t>
            </w:r>
          </w:p>
        </w:tc>
        <w:tc>
          <w:tcPr>
            <w:tcW w:w="156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840A454">
            <w:pPr>
              <w:spacing w:before="0" w:after="60" w:line="250" w:lineRule="auto"/>
            </w:pPr>
            <w:r>
              <w:rPr>
                <w:rFonts w:ascii="Aptos" w:hAnsi="Aptos" w:eastAsia="Microsoft YaHei" w:cs="Aptos"/>
                <w:color w:val="000000"/>
                <w:sz w:val="19"/>
                <w:szCs w:val="19"/>
              </w:rPr>
              <w:t>133.8073</w:t>
            </w:r>
          </w:p>
        </w:tc>
        <w:tc>
          <w:tcPr>
            <w:tcW w:w="156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AC1ED20">
            <w:pPr>
              <w:spacing w:before="0" w:after="60" w:line="250" w:lineRule="auto"/>
            </w:pPr>
            <w:r>
              <w:rPr>
                <w:rFonts w:ascii="Aptos" w:hAnsi="Aptos" w:eastAsia="Microsoft YaHei" w:cs="Aptos"/>
                <w:color w:val="000000"/>
                <w:sz w:val="19"/>
                <w:szCs w:val="19"/>
              </w:rPr>
              <w:t>357.5731</w:t>
            </w:r>
          </w:p>
        </w:tc>
        <w:tc>
          <w:tcPr>
            <w:tcW w:w="156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F66F788">
            <w:pPr>
              <w:spacing w:before="0" w:after="60" w:line="250" w:lineRule="auto"/>
            </w:pPr>
            <w:r>
              <w:rPr>
                <w:rFonts w:ascii="Aptos" w:hAnsi="Aptos" w:eastAsia="Microsoft YaHei" w:cs="Aptos"/>
                <w:color w:val="000000"/>
                <w:sz w:val="19"/>
                <w:szCs w:val="19"/>
              </w:rPr>
              <w:t>0 / 0</w:t>
            </w:r>
          </w:p>
        </w:tc>
      </w:tr>
    </w:tbl>
    <w:p w14:paraId="1D525EB3">
      <w:pPr>
        <w:spacing w:before="0" w:after="95" w:line="276" w:lineRule="auto"/>
      </w:pPr>
      <w:r>
        <w:rPr>
          <w:rFonts w:ascii="Aptos" w:hAnsi="Aptos" w:eastAsia="Microsoft YaHei" w:cs="Aptos"/>
          <w:color w:val="000000"/>
          <w:sz w:val="21"/>
          <w:szCs w:val="21"/>
        </w:rPr>
        <w:t>Distance decreased by approximately 6.19%. The case offers three vehicles of capacity 200 units each, demand of 30 units per hospital, customer windows 09:00–17:00 with 15-minute service, and depot hours 08:00–18:00. Duration sums vehicle working times. Time-bounded results may vary by environment. Experiment record (../PROGRESS.md), Singapore assumptions (../docs/singapore_network_assumptions.md)</w:t>
      </w:r>
    </w:p>
    <w:p w14:paraId="061958B0">
      <w:pPr>
        <w:keepNext/>
        <w:spacing w:before="180" w:after="80" w:line="286" w:lineRule="auto"/>
      </w:pPr>
      <w:r>
        <w:rPr>
          <w:rFonts w:ascii="Aptos" w:hAnsi="Aptos" w:eastAsia="Microsoft YaHei" w:cs="Aptos"/>
          <w:b/>
          <w:bCs/>
          <w:color w:val="000000"/>
          <w:sz w:val="24"/>
          <w:szCs w:val="24"/>
        </w:rPr>
        <w:t>8.3 Disposition Ground Truth</w:t>
      </w:r>
    </w:p>
    <w:p w14:paraId="11927FCE">
      <w:pPr>
        <w:spacing w:before="0" w:after="95" w:line="276" w:lineRule="auto"/>
      </w:pPr>
      <w:r>
        <w:rPr>
          <w:rFonts w:ascii="Aptos" w:hAnsi="Aptos" w:eastAsia="Microsoft YaHei" w:cs="Aptos"/>
          <w:color w:val="000000"/>
          <w:sz w:val="21"/>
          <w:szCs w:val="21"/>
        </w:rPr>
        <w:t>B and C independently labelled all 57 synthetic cases using only the written rubric, followed by A's arbitration. Human gold replaced engine-generated placeholder labels on 2026-09-12. Annotators are team members, not represented as domain experts. Individual responses remain in a private annotation package; the repository preserves arbitrated labels, findings and fingerprints.</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4680"/>
        <w:gridCol w:w="4680"/>
      </w:tblGrid>
      <w:tr>
        <w:tc>
          <w:tcPr>
            <w:tcW w:w="468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26FB4BB6">
            <w:pPr>
              <w:spacing w:before="0" w:after="60" w:line="250" w:lineRule="auto"/>
            </w:pPr>
            <w:r>
              <w:rPr>
                <w:rFonts w:ascii="Aptos" w:hAnsi="Aptos" w:eastAsia="Microsoft YaHei" w:cs="Aptos"/>
                <w:b/>
                <w:bCs/>
                <w:color w:val="FFFFFF"/>
                <w:sz w:val="19"/>
                <w:szCs w:val="19"/>
              </w:rPr>
              <w:t>Measure</w:t>
            </w:r>
          </w:p>
        </w:tc>
        <w:tc>
          <w:tcPr>
            <w:tcW w:w="468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08B4D695">
            <w:pPr>
              <w:spacing w:before="0" w:after="60" w:line="250" w:lineRule="auto"/>
            </w:pPr>
            <w:r>
              <w:rPr>
                <w:rFonts w:ascii="Aptos" w:hAnsi="Aptos" w:eastAsia="Microsoft YaHei" w:cs="Aptos"/>
                <w:b/>
                <w:bCs/>
                <w:color w:val="FFFFFF"/>
                <w:sz w:val="19"/>
                <w:szCs w:val="19"/>
              </w:rPr>
              <w:t>Current result</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E70F787">
            <w:pPr>
              <w:spacing w:before="0" w:after="60" w:line="250" w:lineRule="auto"/>
            </w:pPr>
            <w:r>
              <w:rPr>
                <w:rFonts w:ascii="Aptos" w:hAnsi="Aptos" w:eastAsia="Microsoft YaHei" w:cs="Aptos"/>
                <w:color w:val="000000"/>
                <w:sz w:val="19"/>
                <w:szCs w:val="19"/>
              </w:rPr>
              <w:t>Original B/C agreement</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3E9E9C">
            <w:pPr>
              <w:spacing w:before="0" w:after="60" w:line="250" w:lineRule="auto"/>
            </w:pPr>
            <w:r>
              <w:rPr>
                <w:rFonts w:ascii="Aptos" w:hAnsi="Aptos" w:eastAsia="Microsoft YaHei" w:cs="Aptos"/>
                <w:color w:val="000000"/>
                <w:sz w:val="19"/>
                <w:szCs w:val="19"/>
              </w:rPr>
              <w:t>44/57</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076858D">
            <w:pPr>
              <w:spacing w:before="0" w:after="60" w:line="250" w:lineRule="auto"/>
            </w:pPr>
            <w:r>
              <w:rPr>
                <w:rFonts w:ascii="Aptos" w:hAnsi="Aptos" w:eastAsia="Microsoft YaHei" w:cs="Aptos"/>
                <w:color w:val="000000"/>
                <w:sz w:val="19"/>
                <w:szCs w:val="19"/>
              </w:rPr>
              <w:t>Inter-annotator Cohen's κ</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09A8EC4">
            <w:pPr>
              <w:spacing w:before="0" w:after="60" w:line="250" w:lineRule="auto"/>
            </w:pPr>
            <w:r>
              <w:rPr>
                <w:rFonts w:ascii="Aptos" w:hAnsi="Aptos" w:eastAsia="Microsoft YaHei" w:cs="Aptos"/>
                <w:color w:val="000000"/>
                <w:sz w:val="19"/>
                <w:szCs w:val="19"/>
              </w:rPr>
              <w:t>0.6434, below the original 0.80 target</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A2B25D3">
            <w:pPr>
              <w:spacing w:before="0" w:after="60" w:line="250" w:lineRule="auto"/>
            </w:pPr>
            <w:r>
              <w:rPr>
                <w:rFonts w:ascii="Aptos" w:hAnsi="Aptos" w:eastAsia="Microsoft YaHei" w:cs="Aptos"/>
                <w:color w:val="000000"/>
                <w:sz w:val="19"/>
                <w:szCs w:val="19"/>
              </w:rPr>
              <w:t>Current engine agreement with gold</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CE798F6">
            <w:pPr>
              <w:spacing w:before="0" w:after="60" w:line="250" w:lineRule="auto"/>
            </w:pPr>
            <w:r>
              <w:rPr>
                <w:rFonts w:ascii="Aptos" w:hAnsi="Aptos" w:eastAsia="Microsoft YaHei" w:cs="Aptos"/>
                <w:color w:val="000000"/>
                <w:sz w:val="19"/>
                <w:szCs w:val="19"/>
              </w:rPr>
              <w:t>39/57, 68.4%</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A60D5FB">
            <w:pPr>
              <w:spacing w:before="0" w:after="60" w:line="250" w:lineRule="auto"/>
            </w:pPr>
            <w:r>
              <w:rPr>
                <w:rFonts w:ascii="Aptos" w:hAnsi="Aptos" w:eastAsia="Microsoft YaHei" w:cs="Aptos"/>
                <w:color w:val="000000"/>
                <w:sz w:val="19"/>
                <w:szCs w:val="19"/>
              </w:rPr>
              <w:t>Eighteen differences</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14D4912">
            <w:pPr>
              <w:spacing w:before="0" w:after="60" w:line="250" w:lineRule="auto"/>
            </w:pPr>
            <w:r>
              <w:rPr>
                <w:rFonts w:ascii="Aptos" w:hAnsi="Aptos" w:eastAsia="Microsoft YaHei" w:cs="Aptos"/>
                <w:color w:val="000000"/>
                <w:sz w:val="19"/>
                <w:szCs w:val="19"/>
              </w:rPr>
              <w:t>15 engine quarantine/gold scrap; 2 engine release/gold quarantine; 1 engine retest/gold quarantine</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BDED4C5">
            <w:pPr>
              <w:spacing w:before="0" w:after="60" w:line="250" w:lineRule="auto"/>
            </w:pPr>
            <w:r>
              <w:rPr>
                <w:rFonts w:ascii="Aptos" w:hAnsi="Aptos" w:eastAsia="Microsoft YaHei" w:cs="Aptos"/>
                <w:color w:val="000000"/>
                <w:sz w:val="19"/>
                <w:szCs w:val="19"/>
              </w:rPr>
              <w:t>Gold support</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7EF8064">
            <w:pPr>
              <w:spacing w:before="0" w:after="60" w:line="250" w:lineRule="auto"/>
            </w:pPr>
            <w:r>
              <w:rPr>
                <w:rFonts w:ascii="Aptos" w:hAnsi="Aptos" w:eastAsia="Microsoft YaHei" w:cs="Aptos"/>
                <w:color w:val="000000"/>
                <w:sz w:val="19"/>
                <w:szCs w:val="19"/>
              </w:rPr>
              <w:t>Release 13, retest 8, quarantine 3, scrap 33</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6E75569">
            <w:pPr>
              <w:spacing w:before="0" w:after="60" w:line="250" w:lineRule="auto"/>
            </w:pPr>
            <w:r>
              <w:rPr>
                <w:rFonts w:ascii="Aptos" w:hAnsi="Aptos" w:eastAsia="Microsoft YaHei" w:cs="Aptos"/>
                <w:color w:val="000000"/>
                <w:sz w:val="19"/>
                <w:szCs w:val="19"/>
              </w:rPr>
              <w:t>High-consequence class recall</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64EB13F3">
            <w:pPr>
              <w:spacing w:before="0" w:after="60" w:line="250" w:lineRule="auto"/>
            </w:pPr>
            <w:r>
              <w:rPr>
                <w:rFonts w:ascii="Aptos" w:hAnsi="Aptos" w:eastAsia="Microsoft YaHei" w:cs="Aptos"/>
                <w:color w:val="000000"/>
                <w:sz w:val="19"/>
                <w:szCs w:val="19"/>
              </w:rPr>
              <w:t>Quarantine 0/3; scrap 18/33, 54.5%</w:t>
            </w:r>
          </w:p>
        </w:tc>
      </w:tr>
    </w:tbl>
    <w:p w14:paraId="7EFE4EA1">
      <w:pPr>
        <w:spacing w:before="0" w:after="95" w:line="276" w:lineRule="auto"/>
      </w:pPr>
      <w:r>
        <w:rPr>
          <w:rFonts w:ascii="Aptos" w:hAnsi="Aptos" w:eastAsia="Microsoft YaHei" w:cs="Aptos"/>
          <w:color w:val="000000"/>
          <w:sz w:val="21"/>
          <w:szCs w:val="21"/>
        </w:rPr>
        <w:t>The team decided to report κ=0.6434 without revising and repeating the rubric exercise merely to increase κ, and to retain the three gold quarantine cases. Rule 4's quarantine/scrap choice remains an unresolved domain-policy question requiring product evidence. With only three gold quarantine cases, report support alongside metrics and avoid stable population-performance claims.</w:t>
      </w:r>
    </w:p>
    <w:p w14:paraId="592C5C7D">
      <w:pPr>
        <w:spacing w:before="0" w:after="95" w:line="276" w:lineRule="auto"/>
      </w:pPr>
      <w:r>
        <w:rPr>
          <w:rFonts w:ascii="Aptos" w:hAnsi="Aptos" w:eastAsia="Microsoft YaHei" w:cs="Aptos"/>
          <w:color w:val="000000"/>
          <w:sz w:val="21"/>
          <w:szCs w:val="21"/>
        </w:rPr>
        <w:t>There are three evaluation levels: unit checks establish fidelity to frozen rules; human gold measures differences between written rules and team judgement; domain validity requires applicable product documents or external review. Tests freeze the eighteen known differences. Passing tests does not mean 100% gold agreement or prove all differences should be resolved by changing the engine.</w:t>
      </w:r>
    </w:p>
    <w:p w14:paraId="62E6D510">
      <w:pPr>
        <w:spacing w:before="0" w:after="95" w:line="276" w:lineRule="auto"/>
      </w:pPr>
      <w:r>
        <w:rPr>
          <w:rFonts w:ascii="Aptos" w:hAnsi="Aptos" w:eastAsia="Microsoft YaHei" w:cs="Aptos"/>
          <w:color w:val="000000"/>
          <w:sz w:val="21"/>
          <w:szCs w:val="21"/>
        </w:rPr>
        <w:t>This revision directly checked the real engine's 39/57 agreement and confusion counts. The selftest mode of evaluate_engine.py substitutes rubric outputs for an engine and validates the evaluation script only. Formal evaluation still needs a complete macro-F1, per-class precision/recall, κ and coverage table with version information. Annotation statistics (../data/processed/agreement_stats.md), Findings (../docs/annotation_findings_v1.md), Engine checks (../tests/test_rule_engine.py)</w:t>
      </w:r>
    </w:p>
    <w:p w14:paraId="111030ED">
      <w:pPr>
        <w:spacing w:before="0" w:after="95" w:line="276" w:lineRule="auto"/>
      </w:pPr>
      <w:r>
        <w:rPr>
          <w:rFonts w:ascii="Aptos" w:hAnsi="Aptos" w:eastAsia="Microsoft YaHei" w:cs="Aptos"/>
          <w:color w:val="000000"/>
          <w:sz w:val="21"/>
          <w:szCs w:val="21"/>
        </w:rPr>
        <w:t>External product-level review is optional and has not been completed. Evidence-driven rule revisions should be versioned and assessed on independent new cases; tuning to the same gold set is not fresh independent validation.</w:t>
      </w:r>
    </w:p>
    <w:p w14:paraId="3D1DFF9D">
      <w:pPr>
        <w:keepNext/>
        <w:spacing w:before="260" w:after="100" w:line="300" w:lineRule="auto"/>
      </w:pPr>
      <w:r>
        <w:rPr>
          <w:rFonts w:ascii="Aptos" w:hAnsi="Aptos" w:eastAsia="Microsoft YaHei" w:cs="Aptos"/>
          <w:b/>
          <w:bCs/>
          <w:color w:val="000000"/>
          <w:sz w:val="28"/>
          <w:szCs w:val="28"/>
        </w:rPr>
        <w:t>9. MVP and Scope Control</w:t>
      </w:r>
    </w:p>
    <w:p w14:paraId="1ADADC1E">
      <w:pPr>
        <w:spacing w:before="0" w:after="95" w:line="276" w:lineRule="auto"/>
      </w:pPr>
      <w:r>
        <w:rPr>
          <w:rFonts w:ascii="Aptos" w:hAnsi="Aptos" w:eastAsia="Microsoft YaHei" w:cs="Aptos"/>
          <w:b/>
          <w:bCs/>
          <w:color w:val="000000"/>
          <w:sz w:val="21"/>
          <w:szCs w:val="21"/>
        </w:rPr>
        <w:t>Required:</w:t>
      </w:r>
      <w:r>
        <w:rPr>
          <w:rFonts w:ascii="Aptos" w:hAnsi="Aptos" w:eastAsia="Microsoft YaHei" w:cs="Aptos"/>
          <w:color w:val="000000"/>
          <w:sz w:val="21"/>
          <w:szCs w:val="21"/>
        </w:rPr>
        <w:t xml:space="preserve"> four explicitly prototype category configurations; four dispositions and separate reshipment semantics; single-depot simulated Singapore deliveries; rule-to-order-to-route integration; graph queries connected to the frontend; linked case records; independent rule evaluation and offline risk/cause experiments; bilingual UI and reproduction instructions.</w:t>
      </w:r>
    </w:p>
    <w:p w14:paraId="5E1A9CFF">
      <w:pPr>
        <w:spacing w:before="0" w:after="95" w:line="276" w:lineRule="auto"/>
      </w:pPr>
      <w:r>
        <w:rPr>
          <w:rFonts w:ascii="Aptos" w:hAnsi="Aptos" w:eastAsia="Microsoft YaHei" w:cs="Aptos"/>
          <w:b/>
          <w:bCs/>
          <w:color w:val="000000"/>
          <w:sz w:val="21"/>
          <w:szCs w:val="21"/>
        </w:rPr>
        <w:t>Supplementary targets:</w:t>
      </w:r>
      <w:r>
        <w:rPr>
          <w:rFonts w:ascii="Aptos" w:hAnsi="Aptos" w:eastAsia="Microsoft YaHei" w:cs="Aptos"/>
          <w:color w:val="000000"/>
          <w:sz w:val="21"/>
          <w:szCs w:val="21"/>
        </w:rPr>
        <w:t xml:space="preserve"> sequence event generation and MKT validation, additional routing cases and stricter data splits. Prioritise the required workflow if time is constrained, disclose approximate demo inputs, and do not count unfinished supplementary work as delivered.</w:t>
      </w:r>
    </w:p>
    <w:p w14:paraId="719638AA">
      <w:pPr>
        <w:spacing w:before="0" w:after="95" w:line="276" w:lineRule="auto"/>
      </w:pPr>
      <w:r>
        <w:rPr>
          <w:rFonts w:ascii="Aptos" w:hAnsi="Aptos" w:eastAsia="Microsoft YaHei" w:cs="Aptos"/>
          <w:b/>
          <w:bCs/>
          <w:color w:val="000000"/>
          <w:sz w:val="21"/>
          <w:szCs w:val="21"/>
        </w:rPr>
        <w:t>Optional extensions:</w:t>
      </w:r>
      <w:r>
        <w:rPr>
          <w:rFonts w:ascii="Aptos" w:hAnsi="Aptos" w:eastAsia="Microsoft YaHei" w:cs="Aptos"/>
          <w:color w:val="000000"/>
          <w:sz w:val="21"/>
          <w:szCs w:val="21"/>
        </w:rPr>
        <w:t xml:space="preserve"> early warning, tiered stability windows, multi-depot inventory selection, multiple temperature compartments, genetic algorithms, live vehicle positions, LLM polishing and feedback learning. Integrated acceptance takes priority.</w:t>
      </w:r>
    </w:p>
    <w:p w14:paraId="7F899F67">
      <w:pPr>
        <w:spacing w:before="0" w:after="95" w:line="276" w:lineRule="auto"/>
      </w:pPr>
      <w:r>
        <w:rPr>
          <w:rFonts w:ascii="Aptos" w:hAnsi="Aptos" w:eastAsia="Microsoft YaHei" w:cs="Aptos"/>
          <w:b/>
          <w:bCs/>
          <w:color w:val="000000"/>
          <w:sz w:val="21"/>
          <w:szCs w:val="21"/>
        </w:rPr>
        <w:t>Excluded:</w:t>
      </w:r>
      <w:r>
        <w:rPr>
          <w:rFonts w:ascii="Aptos" w:hAnsi="Aptos" w:eastAsia="Microsoft YaHei" w:cs="Aptos"/>
          <w:color w:val="000000"/>
          <w:sz w:val="21"/>
          <w:szCs w:val="21"/>
        </w:rPr>
        <w:t xml:space="preserve"> production ERP/WMS, actual IoT deployment, clinical or formal regulatory validation, patient data, automatic authorisation of real pharmaceutical dispositions and actual transport execution.</w:t>
      </w:r>
    </w:p>
    <w:p w14:paraId="121FF107">
      <w:pPr>
        <w:keepNext/>
        <w:spacing w:before="260" w:after="100" w:line="300" w:lineRule="auto"/>
      </w:pPr>
      <w:r>
        <w:rPr>
          <w:rFonts w:ascii="Aptos" w:hAnsi="Aptos" w:eastAsia="Microsoft YaHei" w:cs="Aptos"/>
          <w:b/>
          <w:bCs/>
          <w:color w:val="000000"/>
          <w:sz w:val="28"/>
          <w:szCs w:val="28"/>
        </w:rPr>
        <w:t>10. Plan and Team Responsibilities</w:t>
      </w:r>
    </w:p>
    <w:p w14:paraId="1D13E4B2">
      <w:pPr>
        <w:keepNext/>
        <w:spacing w:before="180" w:after="80" w:line="286" w:lineRule="auto"/>
      </w:pPr>
      <w:r>
        <w:rPr>
          <w:rFonts w:ascii="Aptos" w:hAnsi="Aptos" w:eastAsia="Microsoft YaHei" w:cs="Aptos"/>
          <w:b/>
          <w:bCs/>
          <w:color w:val="000000"/>
          <w:sz w:val="24"/>
          <w:szCs w:val="24"/>
        </w:rPr>
        <w:t>10.1 Responsibilities</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3120"/>
        <w:gridCol w:w="3120"/>
        <w:gridCol w:w="3120"/>
      </w:tblGrid>
      <w:tr>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35E23F55">
            <w:pPr>
              <w:spacing w:before="0" w:after="60" w:line="250" w:lineRule="auto"/>
            </w:pPr>
            <w:r>
              <w:rPr>
                <w:rFonts w:ascii="Aptos" w:hAnsi="Aptos" w:eastAsia="Microsoft YaHei" w:cs="Aptos"/>
                <w:b/>
                <w:bCs/>
                <w:color w:val="FFFFFF"/>
                <w:sz w:val="19"/>
                <w:szCs w:val="19"/>
              </w:rPr>
              <w:t>Member</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4C9C0AE7">
            <w:pPr>
              <w:spacing w:before="0" w:after="60" w:line="250" w:lineRule="auto"/>
            </w:pPr>
            <w:r>
              <w:rPr>
                <w:rFonts w:ascii="Aptos" w:hAnsi="Aptos" w:eastAsia="Microsoft YaHei" w:cs="Aptos"/>
                <w:b/>
                <w:bCs/>
                <w:color w:val="FFFFFF"/>
                <w:sz w:val="19"/>
                <w:szCs w:val="19"/>
              </w:rPr>
              <w:t>Primary work</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6561E153">
            <w:pPr>
              <w:spacing w:before="0" w:after="60" w:line="250" w:lineRule="auto"/>
            </w:pPr>
            <w:r>
              <w:rPr>
                <w:rFonts w:ascii="Aptos" w:hAnsi="Aptos" w:eastAsia="Microsoft YaHei" w:cs="Aptos"/>
                <w:b/>
                <w:bCs/>
                <w:color w:val="FFFFFF"/>
                <w:sz w:val="19"/>
                <w:szCs w:val="19"/>
              </w:rPr>
              <w:t>Shared deliverable</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27F332">
            <w:pPr>
              <w:spacing w:before="0" w:after="60" w:line="250" w:lineRule="auto"/>
            </w:pPr>
            <w:r>
              <w:rPr>
                <w:rFonts w:ascii="Aptos" w:hAnsi="Aptos" w:eastAsia="Microsoft YaHei" w:cs="Aptos"/>
                <w:color w:val="000000"/>
                <w:sz w:val="19"/>
                <w:szCs w:val="19"/>
              </w:rPr>
              <w:t>A (Xu Wenzhe)</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B2B2225">
            <w:pPr>
              <w:spacing w:before="0" w:after="60" w:line="250" w:lineRule="auto"/>
            </w:pPr>
            <w:r>
              <w:rPr>
                <w:rFonts w:ascii="Aptos" w:hAnsi="Aptos" w:eastAsia="Microsoft YaHei" w:cs="Aptos"/>
                <w:color w:val="000000"/>
                <w:sz w:val="19"/>
                <w:szCs w:val="19"/>
              </w:rPr>
              <w:t>Rules, domain evidence, human evaluation and report</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2116D0F">
            <w:pPr>
              <w:spacing w:before="0" w:after="60" w:line="250" w:lineRule="auto"/>
            </w:pPr>
            <w:r>
              <w:rPr>
                <w:rFonts w:ascii="Aptos" w:hAnsi="Aptos" w:eastAsia="Microsoft YaHei" w:cs="Aptos"/>
                <w:color w:val="000000"/>
                <w:sz w:val="19"/>
                <w:szCs w:val="19"/>
              </w:rPr>
              <w:t>Reshipment input contract and proposal review</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DCA46A9">
            <w:pPr>
              <w:spacing w:before="0" w:after="60" w:line="250" w:lineRule="auto"/>
            </w:pPr>
            <w:r>
              <w:rPr>
                <w:rFonts w:ascii="Aptos" w:hAnsi="Aptos" w:eastAsia="Microsoft YaHei" w:cs="Aptos"/>
                <w:color w:val="000000"/>
                <w:sz w:val="19"/>
                <w:szCs w:val="19"/>
              </w:rPr>
              <w:t>B (Zhu Jianyu)</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0C022B5">
            <w:pPr>
              <w:spacing w:before="0" w:after="60" w:line="250" w:lineRule="auto"/>
            </w:pPr>
            <w:r>
              <w:rPr>
                <w:rFonts w:ascii="Aptos" w:hAnsi="Aptos" w:eastAsia="Microsoft YaHei" w:cs="Aptos"/>
                <w:color w:val="000000"/>
                <w:sz w:val="19"/>
                <w:szCs w:val="19"/>
              </w:rPr>
              <w:t>Data, risk, candidate causes and experiments</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B6615AB">
            <w:pPr>
              <w:spacing w:before="0" w:after="60" w:line="250" w:lineRule="auto"/>
            </w:pPr>
            <w:r>
              <w:rPr>
                <w:rFonts w:ascii="Aptos" w:hAnsi="Aptos" w:eastAsia="Microsoft YaHei" w:cs="Aptos"/>
                <w:color w:val="000000"/>
                <w:sz w:val="19"/>
                <w:szCs w:val="19"/>
              </w:rPr>
              <w:t>Data-nature disclosures and reported metrics</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88FE123">
            <w:pPr>
              <w:spacing w:before="0" w:after="60" w:line="250" w:lineRule="auto"/>
            </w:pPr>
            <w:r>
              <w:rPr>
                <w:rFonts w:ascii="Aptos" w:hAnsi="Aptos" w:eastAsia="Microsoft YaHei" w:cs="Aptos"/>
                <w:color w:val="000000"/>
                <w:sz w:val="19"/>
                <w:szCs w:val="19"/>
              </w:rPr>
              <w:t>C (Wang Lepeng)</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01ED27">
            <w:pPr>
              <w:spacing w:before="0" w:after="60" w:line="250" w:lineRule="auto"/>
            </w:pPr>
            <w:r>
              <w:rPr>
                <w:rFonts w:ascii="Aptos" w:hAnsi="Aptos" w:eastAsia="Microsoft YaHei" w:cs="Aptos"/>
                <w:color w:val="000000"/>
                <w:sz w:val="19"/>
                <w:szCs w:val="19"/>
              </w:rPr>
              <w:t>VRPTW, roads and route evaluation</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F13594">
            <w:pPr>
              <w:spacing w:before="0" w:after="60" w:line="250" w:lineRule="auto"/>
            </w:pPr>
            <w:r>
              <w:rPr>
                <w:rFonts w:ascii="Aptos" w:hAnsi="Aptos" w:eastAsia="Microsoft YaHei" w:cs="Aptos"/>
                <w:color w:val="000000"/>
                <w:sz w:val="19"/>
                <w:szCs w:val="19"/>
              </w:rPr>
              <w:t>Reshipment mapping and route output contract</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D8F933E">
            <w:pPr>
              <w:spacing w:before="0" w:after="60" w:line="250" w:lineRule="auto"/>
            </w:pPr>
            <w:r>
              <w:rPr>
                <w:rFonts w:ascii="Aptos" w:hAnsi="Aptos" w:eastAsia="Microsoft YaHei" w:cs="Aptos"/>
                <w:color w:val="000000"/>
                <w:sz w:val="19"/>
                <w:szCs w:val="19"/>
              </w:rPr>
              <w:t>D (Shen Ziyi)</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613FFC6D">
            <w:pPr>
              <w:spacing w:before="0" w:after="60" w:line="250" w:lineRule="auto"/>
            </w:pPr>
            <w:r>
              <w:rPr>
                <w:rFonts w:ascii="Aptos" w:hAnsi="Aptos" w:eastAsia="Microsoft YaHei" w:cs="Aptos"/>
                <w:color w:val="000000"/>
                <w:sz w:val="19"/>
                <w:szCs w:val="19"/>
              </w:rPr>
              <w:t>KG, QA, API, frontend and demonstration</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ADF3DCC">
            <w:pPr>
              <w:spacing w:before="0" w:after="60" w:line="250" w:lineRule="auto"/>
            </w:pPr>
            <w:r>
              <w:rPr>
                <w:rFonts w:ascii="Aptos" w:hAnsi="Aptos" w:eastAsia="Microsoft YaHei" w:cs="Aptos"/>
                <w:color w:val="000000"/>
                <w:sz w:val="19"/>
                <w:szCs w:val="19"/>
              </w:rPr>
              <w:t>Case association, evidence display and videos</w:t>
            </w:r>
          </w:p>
        </w:tc>
      </w:tr>
    </w:tbl>
    <w:p w14:paraId="2BC8A2A3">
      <w:pPr>
        <w:spacing w:before="0" w:after="95" w:line="276" w:lineRule="auto"/>
      </w:pPr>
      <w:r>
        <w:rPr>
          <w:rFonts w:ascii="Aptos" w:hAnsi="Aptos" w:eastAsia="Microsoft YaHei" w:cs="Aptos"/>
          <w:color w:val="000000"/>
          <w:sz w:val="21"/>
          <w:szCs w:val="21"/>
        </w:rPr>
        <w:t>The table states primary ownership, not strict isolation. Delivery involved cross-assistance: rule thresholds and annotation wording were reviewed by both A and B, and the dispatch contract and frontend wiring were modified by both C and D, so a single module may show commits from more than one member.</w:t>
      </w:r>
    </w:p>
    <w:p w14:paraId="1C9ADF97">
      <w:pPr>
        <w:keepNext/>
        <w:spacing w:before="180" w:after="80" w:line="286" w:lineRule="auto"/>
      </w:pPr>
      <w:r>
        <w:rPr>
          <w:rFonts w:ascii="Aptos" w:hAnsi="Aptos" w:eastAsia="Microsoft YaHei" w:cs="Aptos"/>
          <w:b/>
          <w:bCs/>
          <w:color w:val="000000"/>
          <w:sz w:val="24"/>
          <w:szCs w:val="24"/>
        </w:rPr>
        <w:t>10.2 Revised Weekly Plan</w:t>
      </w:r>
    </w:p>
    <w:p w14:paraId="0BD77B39">
      <w:pPr>
        <w:spacing w:before="0" w:after="95" w:line="276" w:lineRule="auto"/>
      </w:pPr>
      <w:r>
        <w:rPr>
          <w:rFonts w:ascii="Aptos" w:hAnsi="Aptos" w:eastAsia="Microsoft YaHei" w:cs="Aptos"/>
          <w:color w:val="000000"/>
          <w:sz w:val="21"/>
          <w:szCs w:val="21"/>
        </w:rPr>
        <w:t>Start from work completed by 2026-09-12 and retain the original deadlines. The approximately 40 person-day budget prioritises integration, verification and delivery; optional algorithms are not mandatory. This is the revised proposal plan. Historical tasks in the daily plan do not mean those activities have yet to start.</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3120"/>
        <w:gridCol w:w="3120"/>
        <w:gridCol w:w="3120"/>
      </w:tblGrid>
      <w:tr>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495C6A3A">
            <w:pPr>
              <w:spacing w:before="0" w:after="60" w:line="250" w:lineRule="auto"/>
            </w:pPr>
            <w:r>
              <w:rPr>
                <w:rFonts w:ascii="Aptos" w:hAnsi="Aptos" w:eastAsia="Microsoft YaHei" w:cs="Aptos"/>
                <w:b/>
                <w:bCs/>
                <w:color w:val="FFFFFF"/>
                <w:sz w:val="19"/>
                <w:szCs w:val="19"/>
              </w:rPr>
              <w:t>Week</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35EA68F0">
            <w:pPr>
              <w:spacing w:before="0" w:after="60" w:line="250" w:lineRule="auto"/>
            </w:pPr>
            <w:r>
              <w:rPr>
                <w:rFonts w:ascii="Aptos" w:hAnsi="Aptos" w:eastAsia="Microsoft YaHei" w:cs="Aptos"/>
                <w:b/>
                <w:bCs/>
                <w:color w:val="FFFFFF"/>
                <w:sz w:val="19"/>
                <w:szCs w:val="19"/>
              </w:rPr>
              <w:t>Main tasks and owners</w:t>
            </w:r>
          </w:p>
        </w:tc>
        <w:tc>
          <w:tcPr>
            <w:tcW w:w="312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0A30BBBC">
            <w:pPr>
              <w:spacing w:before="0" w:after="60" w:line="250" w:lineRule="auto"/>
            </w:pPr>
            <w:r>
              <w:rPr>
                <w:rFonts w:ascii="Aptos" w:hAnsi="Aptos" w:eastAsia="Microsoft YaHei" w:cs="Aptos"/>
                <w:b/>
                <w:bCs/>
                <w:color w:val="FFFFFF"/>
                <w:sz w:val="19"/>
                <w:szCs w:val="19"/>
              </w:rPr>
              <w:t>Acceptance deliverable</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B512911">
            <w:pPr>
              <w:spacing w:before="0" w:after="60" w:line="250" w:lineRule="auto"/>
            </w:pPr>
            <w:r>
              <w:rPr>
                <w:rFonts w:ascii="Aptos" w:hAnsi="Aptos" w:eastAsia="Microsoft YaHei" w:cs="Aptos"/>
                <w:color w:val="000000"/>
                <w:sz w:val="19"/>
                <w:szCs w:val="19"/>
              </w:rPr>
              <w:t>W0 9/3–13</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7D3D2D5">
            <w:pPr>
              <w:spacing w:before="0" w:after="60" w:line="250" w:lineRule="auto"/>
            </w:pPr>
            <w:r>
              <w:rPr>
                <w:rFonts w:ascii="Aptos" w:hAnsi="Aptos" w:eastAsia="Microsoft YaHei" w:cs="Aptos"/>
                <w:color w:val="000000"/>
                <w:sz w:val="19"/>
                <w:szCs w:val="19"/>
              </w:rPr>
              <w:t>All: consolidate rules, data, annotation, routes and KG, revise proposal, add team details and synchronise materials</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17FEB75">
            <w:pPr>
              <w:spacing w:before="0" w:after="60" w:line="250" w:lineRule="auto"/>
            </w:pPr>
            <w:r>
              <w:rPr>
                <w:rFonts w:ascii="Aptos" w:hAnsi="Aptos" w:eastAsia="Microsoft YaHei" w:cs="Aptos"/>
                <w:color w:val="000000"/>
                <w:sz w:val="19"/>
                <w:szCs w:val="19"/>
              </w:rPr>
              <w:t>Review and submission due 9/13; group name, member names and student IDs added</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2E296528">
            <w:pPr>
              <w:spacing w:before="0" w:after="60" w:line="250" w:lineRule="auto"/>
            </w:pPr>
            <w:r>
              <w:rPr>
                <w:rFonts w:ascii="Aptos" w:hAnsi="Aptos" w:eastAsia="Microsoft YaHei" w:cs="Aptos"/>
                <w:color w:val="000000"/>
                <w:sz w:val="19"/>
                <w:szCs w:val="19"/>
              </w:rPr>
              <w:t>W1 9/14–20</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26BAAEB">
            <w:pPr>
              <w:spacing w:before="0" w:after="60" w:line="250" w:lineRule="auto"/>
            </w:pPr>
            <w:r>
              <w:rPr>
                <w:rFonts w:ascii="Aptos" w:hAnsi="Aptos" w:eastAsia="Microsoft YaHei" w:cs="Aptos"/>
                <w:color w:val="000000"/>
                <w:sz w:val="19"/>
                <w:szCs w:val="19"/>
              </w:rPr>
              <w:t>A: evidence/gold evaluation; B: task spec/multi-fold risk; C: order mapping; D: QA API/evidence checks</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04D60685">
            <w:pPr>
              <w:spacing w:before="0" w:after="60" w:line="250" w:lineRule="auto"/>
            </w:pPr>
            <w:r>
              <w:rPr>
                <w:rFonts w:ascii="Aptos" w:hAnsi="Aptos" w:eastAsia="Microsoft YaHei" w:cs="Aptos"/>
                <w:color w:val="000000"/>
                <w:sz w:val="19"/>
                <w:szCs w:val="19"/>
              </w:rPr>
              <w:t>Evaluation tables, task specification and reviewable interfaces/queries</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2297B5E">
            <w:pPr>
              <w:spacing w:before="0" w:after="60" w:line="250" w:lineRule="auto"/>
            </w:pPr>
            <w:r>
              <w:rPr>
                <w:rFonts w:ascii="Aptos" w:hAnsi="Aptos" w:eastAsia="Microsoft YaHei" w:cs="Aptos"/>
                <w:color w:val="000000"/>
                <w:sz w:val="19"/>
                <w:szCs w:val="19"/>
              </w:rPr>
              <w:t>W2 9/21–27</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F8C96AB">
            <w:pPr>
              <w:spacing w:before="0" w:after="60" w:line="250" w:lineRule="auto"/>
            </w:pPr>
            <w:r>
              <w:rPr>
                <w:rFonts w:ascii="Aptos" w:hAnsi="Aptos" w:eastAsia="Microsoft YaHei" w:cs="Aptos"/>
                <w:color w:val="000000"/>
                <w:sz w:val="19"/>
                <w:szCs w:val="19"/>
              </w:rPr>
              <w:t>A/C/D: order, route and case contracts/wiring; B: cause and split comparisons; D: frontend graph answers</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22657F5">
            <w:pPr>
              <w:spacing w:before="0" w:after="60" w:line="250" w:lineRule="auto"/>
            </w:pPr>
            <w:r>
              <w:rPr>
                <w:rFonts w:ascii="Aptos" w:hAnsi="Aptos" w:eastAsia="Microsoft YaHei" w:cs="Aptos"/>
                <w:color w:val="000000"/>
                <w:sz w:val="19"/>
                <w:szCs w:val="19"/>
              </w:rPr>
              <w:t>Single-depot reshipment solving, real QA and failure states</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9C9E76D">
            <w:pPr>
              <w:spacing w:before="0" w:after="60" w:line="250" w:lineRule="auto"/>
            </w:pPr>
            <w:r>
              <w:rPr>
                <w:rFonts w:ascii="Aptos" w:hAnsi="Aptos" w:eastAsia="Microsoft YaHei" w:cs="Aptos"/>
                <w:color w:val="000000"/>
                <w:sz w:val="19"/>
                <w:szCs w:val="19"/>
              </w:rPr>
              <w:t>W3 9/28–10/4</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9227F7C">
            <w:pPr>
              <w:spacing w:before="0" w:after="60" w:line="250" w:lineRule="auto"/>
            </w:pPr>
            <w:r>
              <w:rPr>
                <w:rFonts w:ascii="Aptos" w:hAnsi="Aptos" w:eastAsia="Microsoft YaHei" w:cs="Aptos"/>
                <w:color w:val="000000"/>
                <w:sz w:val="19"/>
                <w:szCs w:val="19"/>
              </w:rPr>
              <w:t>All: integration; A/D: closure and human-review record boundaries</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D023583">
            <w:pPr>
              <w:spacing w:before="0" w:after="60" w:line="250" w:lineRule="auto"/>
            </w:pPr>
            <w:r>
              <w:rPr>
                <w:rFonts w:ascii="Aptos" w:hAnsi="Aptos" w:eastAsia="Microsoft YaHei" w:cs="Aptos"/>
                <w:color w:val="000000"/>
                <w:sz w:val="19"/>
                <w:szCs w:val="19"/>
              </w:rPr>
              <w:t>Minimal workflow v1 with replacement, no-replacement and failure cases</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7CEAFA7">
            <w:pPr>
              <w:spacing w:before="0" w:after="60" w:line="250" w:lineRule="auto"/>
            </w:pPr>
            <w:r>
              <w:rPr>
                <w:rFonts w:ascii="Aptos" w:hAnsi="Aptos" w:eastAsia="Microsoft YaHei" w:cs="Aptos"/>
                <w:color w:val="000000"/>
                <w:sz w:val="19"/>
                <w:szCs w:val="19"/>
              </w:rPr>
              <w:t>W4 10/5–11</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1A631D2">
            <w:pPr>
              <w:spacing w:before="0" w:after="60" w:line="250" w:lineRule="auto"/>
            </w:pPr>
            <w:r>
              <w:rPr>
                <w:rFonts w:ascii="Aptos" w:hAnsi="Aptos" w:eastAsia="Microsoft YaHei" w:cs="Aptos"/>
                <w:color w:val="000000"/>
                <w:sz w:val="19"/>
                <w:szCs w:val="19"/>
              </w:rPr>
              <w:t>A: report/audit template; B: experiments/failures; C: Solomon and Singapore comparisons; D: QA evaluation</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F6F986A">
            <w:pPr>
              <w:spacing w:before="0" w:after="60" w:line="250" w:lineRule="auto"/>
            </w:pPr>
            <w:r>
              <w:rPr>
                <w:rFonts w:ascii="Aptos" w:hAnsi="Aptos" w:eastAsia="Microsoft YaHei" w:cs="Aptos"/>
                <w:color w:val="000000"/>
                <w:sz w:val="19"/>
                <w:szCs w:val="19"/>
              </w:rPr>
              <w:t>Formal results, relevant evidence checks and report draft</w:t>
            </w:r>
          </w:p>
        </w:tc>
      </w:tr>
      <w:tr>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DE7BBDE">
            <w:pPr>
              <w:spacing w:before="0" w:after="60" w:line="250" w:lineRule="auto"/>
            </w:pPr>
            <w:r>
              <w:rPr>
                <w:rFonts w:ascii="Aptos" w:hAnsi="Aptos" w:eastAsia="Microsoft YaHei" w:cs="Aptos"/>
                <w:color w:val="000000"/>
                <w:sz w:val="19"/>
                <w:szCs w:val="19"/>
              </w:rPr>
              <w:t>W5 10/12–18</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94C7F51">
            <w:pPr>
              <w:spacing w:before="0" w:after="60" w:line="250" w:lineRule="auto"/>
            </w:pPr>
            <w:r>
              <w:rPr>
                <w:rFonts w:ascii="Aptos" w:hAnsi="Aptos" w:eastAsia="Microsoft YaHei" w:cs="Aptos"/>
                <w:color w:val="000000"/>
                <w:sz w:val="19"/>
                <w:szCs w:val="19"/>
              </w:rPr>
              <w:t>All: integration tests and clean-environment reproduction; D: videos; A: report</w:t>
            </w:r>
          </w:p>
        </w:tc>
        <w:tc>
          <w:tcPr>
            <w:tcW w:w="312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5B81183E">
            <w:pPr>
              <w:spacing w:before="0" w:after="60" w:line="250" w:lineRule="auto"/>
            </w:pPr>
            <w:r>
              <w:rPr>
                <w:rFonts w:ascii="Aptos" w:hAnsi="Aptos" w:eastAsia="Microsoft YaHei" w:cs="Aptos"/>
                <w:color w:val="000000"/>
                <w:sz w:val="19"/>
                <w:szCs w:val="19"/>
              </w:rPr>
              <w:t>Revised report, manual, video material and rehearsal</w:t>
            </w:r>
          </w:p>
        </w:tc>
      </w:tr>
      <w:tr>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7528C99">
            <w:pPr>
              <w:spacing w:before="0" w:after="60" w:line="250" w:lineRule="auto"/>
            </w:pPr>
            <w:r>
              <w:rPr>
                <w:rFonts w:ascii="Aptos" w:hAnsi="Aptos" w:eastAsia="Microsoft YaHei" w:cs="Aptos"/>
                <w:color w:val="000000"/>
                <w:sz w:val="19"/>
                <w:szCs w:val="19"/>
              </w:rPr>
              <w:t>W6 10/19–25</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AEE909D">
            <w:pPr>
              <w:spacing w:before="0" w:after="60" w:line="250" w:lineRule="auto"/>
            </w:pPr>
            <w:r>
              <w:rPr>
                <w:rFonts w:ascii="Aptos" w:hAnsi="Aptos" w:eastAsia="Microsoft YaHei" w:cs="Aptos"/>
                <w:color w:val="000000"/>
                <w:sz w:val="19"/>
                <w:szCs w:val="19"/>
              </w:rPr>
              <w:t>All: final review, videos, packaging, reflections and submission</w:t>
            </w:r>
          </w:p>
        </w:tc>
        <w:tc>
          <w:tcPr>
            <w:tcW w:w="312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87F3279">
            <w:pPr>
              <w:spacing w:before="0" w:after="60" w:line="250" w:lineRule="auto"/>
            </w:pPr>
            <w:r>
              <w:rPr>
                <w:rFonts w:ascii="Aptos" w:hAnsi="Aptos" w:eastAsia="Microsoft YaHei" w:cs="Aptos"/>
                <w:color w:val="000000"/>
                <w:sz w:val="19"/>
                <w:szCs w:val="19"/>
              </w:rPr>
              <w:t>Final delivery by 10/25</w:t>
            </w:r>
          </w:p>
        </w:tc>
      </w:tr>
    </w:tbl>
    <w:p w14:paraId="2FB99EFB">
      <w:pPr>
        <w:spacing w:before="120" w:after="90" w:line="276" w:lineRule="auto"/>
        <w:jc w:val="center"/>
      </w:pPr>
      <w:r>
        <w:drawing>
          <wp:inline distT="0" distB="0" distL="0" distR="0">
            <wp:extent cx="5667375" cy="3724275"/>
            <wp:effectExtent l="0" t="0" r="0" b="0"/>
            <wp:docPr id="100008" name="Picture 100008" descr="Figure 7 Weekly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descr="Figure 7 Weekly plan"/>
                    <pic:cNvPicPr/>
                  </pic:nvPicPr>
                  <pic:blipFill>
                    <a:blip r:embed="rId26"/>
                    <a:stretch>
                      <a:fillRect/>
                    </a:stretch>
                  </pic:blipFill>
                  <pic:spPr>
                    <a:xfrm>
                      <a:off x="0" y="0"/>
                      <a:ext cx="5667375" cy="3724275"/>
                    </a:xfrm>
                    <a:prstGeom prst="rect">
                      <a:avLst/>
                    </a:prstGeom>
                  </pic:spPr>
                </pic:pic>
              </a:graphicData>
            </a:graphic>
          </wp:inline>
        </w:drawing>
      </w:r>
    </w:p>
    <w:p w14:paraId="5E2DC1B1">
      <w:pPr>
        <w:spacing w:before="0" w:after="95" w:line="276" w:lineRule="auto"/>
      </w:pPr>
      <w:r>
        <w:rPr>
          <w:rFonts w:ascii="Aptos" w:hAnsi="Aptos" w:eastAsia="Microsoft YaHei" w:cs="Aptos"/>
          <w:b/>
          <w:bCs/>
          <w:color w:val="000000"/>
          <w:sz w:val="21"/>
          <w:szCs w:val="21"/>
        </w:rPr>
        <w:t>Figure 7:</w:t>
      </w:r>
      <w:r>
        <w:rPr>
          <w:rFonts w:ascii="Aptos" w:hAnsi="Aptos" w:eastAsia="Microsoft YaHei" w:cs="Aptos"/>
          <w:color w:val="000000"/>
          <w:sz w:val="21"/>
          <w:szCs w:val="21"/>
        </w:rPr>
        <w:t xml:space="preserve"> Deadlines retained, with remaining work focused on integration and evaluation.</w:t>
      </w:r>
    </w:p>
    <w:p w14:paraId="26057591">
      <w:pPr>
        <w:keepNext/>
        <w:spacing w:before="260" w:after="100" w:line="300" w:lineRule="auto"/>
      </w:pPr>
      <w:r>
        <w:rPr>
          <w:rFonts w:ascii="Aptos" w:hAnsi="Aptos" w:eastAsia="Microsoft YaHei" w:cs="Aptos"/>
          <w:b/>
          <w:bCs/>
          <w:color w:val="000000"/>
          <w:sz w:val="28"/>
          <w:szCs w:val="28"/>
        </w:rPr>
        <w:t>11. Risks and Mitigation</w:t>
      </w:r>
    </w:p>
    <w:tbl>
      <w:tblPr>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0" w:type="dxa"/>
          <w:left w:w="108" w:type="dxa"/>
          <w:bottom w:w="0" w:type="dxa"/>
          <w:right w:w="108" w:type="dxa"/>
        </w:tblCellMar>
        <w:tblLook w:firstRow="1" w:noVBand="1"/>
      </w:tblPr>
      <w:tblGrid>
        <w:gridCol w:w="4680"/>
        <w:gridCol w:w="4680"/>
      </w:tblGrid>
      <w:tr>
        <w:tc>
          <w:tcPr>
            <w:tcW w:w="468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13A96C59">
            <w:pPr>
              <w:spacing w:before="0" w:after="60" w:line="250" w:lineRule="auto"/>
            </w:pPr>
            <w:r>
              <w:rPr>
                <w:rFonts w:ascii="Aptos" w:hAnsi="Aptos" w:eastAsia="Microsoft YaHei" w:cs="Aptos"/>
                <w:b/>
                <w:bCs/>
                <w:color w:val="FFFFFF"/>
                <w:sz w:val="19"/>
                <w:szCs w:val="19"/>
              </w:rPr>
              <w:t>Risk</w:t>
            </w:r>
          </w:p>
        </w:tc>
        <w:tc>
          <w:tcPr>
            <w:tcW w:w="4680" w:type="dxa"/>
            <w:tcBorders>
              <w:top w:val="single" w:sz="6" w:space="0" w:color="D9D9D9"/>
              <w:left w:val="single" w:sz="6" w:space="0" w:color="D9D9D9"/>
              <w:bottom w:val="single" w:sz="6" w:space="0" w:color="D9D9D9"/>
              <w:right w:val="single" w:sz="6" w:space="0" w:color="D9D9D9"/>
            </w:tcBorders>
            <w:shd w:val="clear" w:fill="1F4E79"/>
            <w:tcMar>
              <w:top w:w="90" w:type="dxa"/>
              <w:left w:w="90" w:type="dxa"/>
              <w:bottom w:w="90" w:type="dxa"/>
              <w:right w:w="90" w:type="dxa"/>
            </w:tcMar>
            <w:vAlign w:val="center"/>
          </w:tcPr>
          <w:p w14:paraId="52207B48">
            <w:pPr>
              <w:spacing w:before="0" w:after="60" w:line="250" w:lineRule="auto"/>
            </w:pPr>
            <w:r>
              <w:rPr>
                <w:rFonts w:ascii="Aptos" w:hAnsi="Aptos" w:eastAsia="Microsoft YaHei" w:cs="Aptos"/>
                <w:b/>
                <w:bCs/>
                <w:color w:val="FFFFFF"/>
                <w:sz w:val="19"/>
                <w:szCs w:val="19"/>
              </w:rPr>
              <w:t>Mitigation and disclosure</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DE29BEC">
            <w:pPr>
              <w:spacing w:before="0" w:after="60" w:line="250" w:lineRule="auto"/>
            </w:pPr>
            <w:r>
              <w:rPr>
                <w:rFonts w:ascii="Aptos" w:hAnsi="Aptos" w:eastAsia="Microsoft YaHei" w:cs="Aptos"/>
                <w:color w:val="000000"/>
                <w:sz w:val="19"/>
                <w:szCs w:val="19"/>
              </w:rPr>
              <w:t>Engineering thresholds mistaken for stability limits</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46C53CB">
            <w:pPr>
              <w:spacing w:before="0" w:after="60" w:line="250" w:lineRule="auto"/>
            </w:pPr>
            <w:r>
              <w:rPr>
                <w:rFonts w:ascii="Aptos" w:hAnsi="Aptos" w:eastAsia="Microsoft YaHei" w:cs="Aptos"/>
                <w:color w:val="000000"/>
                <w:sz w:val="19"/>
                <w:szCs w:val="19"/>
              </w:rPr>
              <w:t>Identify evidence level, product scope and assumptions; retain human review</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6EEB38D">
            <w:pPr>
              <w:spacing w:before="0" w:after="60" w:line="250" w:lineRule="auto"/>
            </w:pPr>
            <w:r>
              <w:rPr>
                <w:rFonts w:ascii="Aptos" w:hAnsi="Aptos" w:eastAsia="Microsoft YaHei" w:cs="Aptos"/>
                <w:color w:val="000000"/>
                <w:sz w:val="19"/>
                <w:szCs w:val="19"/>
              </w:rPr>
              <w:t>Annotation disagreement and unresolved policy</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16E7305">
            <w:pPr>
              <w:spacing w:before="0" w:after="60" w:line="250" w:lineRule="auto"/>
            </w:pPr>
            <w:r>
              <w:rPr>
                <w:rFonts w:ascii="Aptos" w:hAnsi="Aptos" w:eastAsia="Microsoft YaHei" w:cs="Aptos"/>
                <w:color w:val="000000"/>
                <w:sz w:val="19"/>
                <w:szCs w:val="19"/>
              </w:rPr>
              <w:t>Report κ, confusion and small-sample limits; revise based on domain evidence</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4B69CB3">
            <w:pPr>
              <w:spacing w:before="0" w:after="60" w:line="250" w:lineRule="auto"/>
            </w:pPr>
            <w:r>
              <w:rPr>
                <w:rFonts w:ascii="Aptos" w:hAnsi="Aptos" w:eastAsia="Microsoft YaHei" w:cs="Aptos"/>
                <w:color w:val="000000"/>
                <w:sz w:val="19"/>
                <w:szCs w:val="19"/>
              </w:rPr>
              <w:t>Synthetic data and mismatched grain undermine generalisation</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A192A6C">
            <w:pPr>
              <w:spacing w:before="0" w:after="60" w:line="250" w:lineRule="auto"/>
            </w:pPr>
            <w:r>
              <w:rPr>
                <w:rFonts w:ascii="Aptos" w:hAnsi="Aptos" w:eastAsia="Microsoft YaHei" w:cs="Aptos"/>
                <w:color w:val="000000"/>
                <w:sz w:val="19"/>
                <w:szCs w:val="19"/>
              </w:rPr>
              <w:t>Define tasks per dataset and check observation time and grouped leakage</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6EA5FB3">
            <w:pPr>
              <w:spacing w:before="0" w:after="60" w:line="250" w:lineRule="auto"/>
            </w:pPr>
            <w:r>
              <w:rPr>
                <w:rFonts w:ascii="Aptos" w:hAnsi="Aptos" w:eastAsia="Microsoft YaHei" w:cs="Aptos"/>
                <w:color w:val="000000"/>
                <w:sz w:val="19"/>
                <w:szCs w:val="19"/>
              </w:rPr>
              <w:t>Weak cause Top-1</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3C5A115">
            <w:pPr>
              <w:spacing w:before="0" w:after="60" w:line="250" w:lineRule="auto"/>
            </w:pPr>
            <w:r>
              <w:rPr>
                <w:rFonts w:ascii="Aptos" w:hAnsi="Aptos" w:eastAsia="Microsoft YaHei" w:cs="Aptos"/>
                <w:color w:val="000000"/>
                <w:sz w:val="19"/>
                <w:szCs w:val="19"/>
              </w:rPr>
              <w:t>Retain the majority baseline and analyse rankings and available features</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D166BDF">
            <w:pPr>
              <w:spacing w:before="0" w:after="60" w:line="250" w:lineRule="auto"/>
            </w:pPr>
            <w:r>
              <w:rPr>
                <w:rFonts w:ascii="Aptos" w:hAnsi="Aptos" w:eastAsia="Microsoft YaHei" w:cs="Aptos"/>
                <w:color w:val="000000"/>
                <w:sz w:val="19"/>
                <w:szCs w:val="19"/>
              </w:rPr>
              <w:t>Standalone modules without business integration</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B72EC8B">
            <w:pPr>
              <w:spacing w:before="0" w:after="60" w:line="250" w:lineRule="auto"/>
            </w:pPr>
            <w:r>
              <w:rPr>
                <w:rFonts w:ascii="Aptos" w:hAnsi="Aptos" w:eastAsia="Microsoft YaHei" w:cs="Aptos"/>
                <w:color w:val="000000"/>
                <w:sz w:val="19"/>
                <w:szCs w:val="19"/>
              </w:rPr>
              <w:t>A/C/D prioritise order, destination, quantity, windows and case association</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02AE9C2">
            <w:pPr>
              <w:spacing w:before="0" w:after="60" w:line="250" w:lineRule="auto"/>
            </w:pPr>
            <w:r>
              <w:rPr>
                <w:rFonts w:ascii="Aptos" w:hAnsi="Aptos" w:eastAsia="Microsoft YaHei" w:cs="Aptos"/>
                <w:color w:val="000000"/>
                <w:sz w:val="19"/>
                <w:szCs w:val="19"/>
              </w:rPr>
              <w:t>Irrelevant or missing QA evidence</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1256F7C3">
            <w:pPr>
              <w:spacing w:before="0" w:after="60" w:line="250" w:lineRule="auto"/>
            </w:pPr>
            <w:r>
              <w:rPr>
                <w:rFonts w:ascii="Aptos" w:hAnsi="Aptos" w:eastAsia="Microsoft YaHei" w:cs="Aptos"/>
                <w:color w:val="000000"/>
                <w:sz w:val="19"/>
                <w:szCs w:val="19"/>
              </w:rPr>
              <w:t>Evaluate relevance per case and distinguish absent records, insufficient evidence and failure</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BB84452">
            <w:pPr>
              <w:spacing w:before="0" w:after="60" w:line="250" w:lineRule="auto"/>
            </w:pPr>
            <w:r>
              <w:rPr>
                <w:rFonts w:ascii="Aptos" w:hAnsi="Aptos" w:eastAsia="Microsoft YaHei" w:cs="Aptos"/>
                <w:color w:val="000000"/>
                <w:sz w:val="19"/>
                <w:szCs w:val="19"/>
              </w:rPr>
              <w:t>Log or KG write failure</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A244E4">
            <w:pPr>
              <w:spacing w:before="0" w:after="60" w:line="250" w:lineRule="auto"/>
            </w:pPr>
            <w:r>
              <w:rPr>
                <w:rFonts w:ascii="Aptos" w:hAnsi="Aptos" w:eastAsia="Microsoft YaHei" w:cs="Aptos"/>
                <w:color w:val="000000"/>
                <w:sz w:val="19"/>
                <w:szCs w:val="19"/>
              </w:rPr>
              <w:t>Test failure reporting, duplicate triggering and association completeness; no audit-grade durability claim</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7CEABB11">
            <w:pPr>
              <w:spacing w:before="0" w:after="60" w:line="250" w:lineRule="auto"/>
            </w:pPr>
            <w:r>
              <w:rPr>
                <w:rFonts w:ascii="Aptos" w:hAnsi="Aptos" w:eastAsia="Microsoft YaHei" w:cs="Aptos"/>
                <w:color w:val="000000"/>
                <w:sz w:val="19"/>
                <w:szCs w:val="19"/>
              </w:rPr>
              <w:t>Infeasible or incomparable routing</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4EE4042">
            <w:pPr>
              <w:spacing w:before="0" w:after="60" w:line="250" w:lineRule="auto"/>
            </w:pPr>
            <w:r>
              <w:rPr>
                <w:rFonts w:ascii="Aptos" w:hAnsi="Aptos" w:eastAsia="Microsoft YaHei" w:cs="Aptos"/>
                <w:color w:val="000000"/>
                <w:sz w:val="19"/>
                <w:szCs w:val="19"/>
              </w:rPr>
              <w:t>Report unserved/violations and align constraints, objectives, units and budget</w:t>
            </w:r>
          </w:p>
        </w:tc>
      </w:tr>
      <w:tr>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86895E0">
            <w:pPr>
              <w:spacing w:before="0" w:after="60" w:line="250" w:lineRule="auto"/>
            </w:pPr>
            <w:r>
              <w:rPr>
                <w:rFonts w:ascii="Aptos" w:hAnsi="Aptos" w:eastAsia="Microsoft YaHei" w:cs="Aptos"/>
                <w:color w:val="000000"/>
                <w:sz w:val="19"/>
                <w:szCs w:val="19"/>
              </w:rPr>
              <w:t>Scope and environment threaten delivery</w:t>
            </w:r>
          </w:p>
        </w:tc>
        <w:tc>
          <w:tcPr>
            <w:tcW w:w="46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B1853B0">
            <w:pPr>
              <w:spacing w:before="0" w:after="60" w:line="250" w:lineRule="auto"/>
            </w:pPr>
            <w:r>
              <w:rPr>
                <w:rFonts w:ascii="Aptos" w:hAnsi="Aptos" w:eastAsia="Microsoft YaHei" w:cs="Aptos"/>
                <w:color w:val="000000"/>
                <w:sz w:val="19"/>
                <w:szCs w:val="19"/>
              </w:rPr>
              <w:t>Defer extensions, record dependencies/reproduction and retain offline demonstration</w:t>
            </w:r>
          </w:p>
        </w:tc>
      </w:tr>
      <w:tr>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3B11DBAF">
            <w:pPr>
              <w:spacing w:before="0" w:after="60" w:line="250" w:lineRule="auto"/>
            </w:pPr>
            <w:r>
              <w:rPr>
                <w:rFonts w:ascii="Aptos" w:hAnsi="Aptos" w:eastAsia="Microsoft YaHei" w:cs="Aptos"/>
                <w:color w:val="000000"/>
                <w:sz w:val="19"/>
                <w:szCs w:val="19"/>
              </w:rPr>
              <w:t>Data use and provenance</w:t>
            </w:r>
          </w:p>
        </w:tc>
        <w:tc>
          <w:tcPr>
            <w:tcW w:w="4680" w:type="dxa"/>
            <w:tcBorders>
              <w:top w:val="single" w:sz="6" w:space="0" w:color="D9D9D9"/>
              <w:left w:val="single" w:sz="6" w:space="0" w:color="D9D9D9"/>
              <w:bottom w:val="single" w:sz="6" w:space="0" w:color="D9D9D9"/>
              <w:right w:val="single" w:sz="6" w:space="0" w:color="D9D9D9"/>
            </w:tcBorders>
            <w:shd w:val="clear" w:fill="F6F8FA"/>
            <w:tcMar>
              <w:top w:w="90" w:type="dxa"/>
              <w:left w:w="90" w:type="dxa"/>
              <w:bottom w:w="90" w:type="dxa"/>
              <w:right w:w="90" w:type="dxa"/>
            </w:tcMar>
            <w:vAlign w:val="center"/>
          </w:tcPr>
          <w:p w14:paraId="43CBD4E8">
            <w:pPr>
              <w:spacing w:before="0" w:after="60" w:line="250" w:lineRule="auto"/>
            </w:pPr>
            <w:r>
              <w:rPr>
                <w:rFonts w:ascii="Aptos" w:hAnsi="Aptos" w:eastAsia="Microsoft YaHei" w:cs="Aptos"/>
                <w:color w:val="000000"/>
                <w:sz w:val="19"/>
                <w:szCs w:val="19"/>
              </w:rPr>
              <w:t>Preserve licences, attribution and fingerprints; keep personal annotations private</w:t>
            </w:r>
          </w:p>
        </w:tc>
      </w:tr>
    </w:tbl>
    <w:p w14:paraId="4A09567E">
      <w:pPr>
        <w:keepNext/>
        <w:spacing w:before="260" w:after="100" w:line="300" w:lineRule="auto"/>
      </w:pPr>
      <w:r>
        <w:rPr>
          <w:rFonts w:ascii="Aptos" w:hAnsi="Aptos" w:eastAsia="Microsoft YaHei" w:cs="Aptos"/>
          <w:b/>
          <w:bCs/>
          <w:color w:val="000000"/>
          <w:sz w:val="28"/>
          <w:szCs w:val="28"/>
        </w:rPr>
        <w:t>12. Final Deliverables</w:t>
      </w:r>
    </w:p>
    <w:p w14:paraId="5784F694">
      <w:pPr>
        <w:spacing w:before="0" w:after="65" w:line="276" w:lineRule="auto"/>
        <w:ind w:left="420" w:hanging="220"/>
      </w:pPr>
      <w:r>
        <w:rPr>
          <w:rFonts w:ascii="Aptos" w:hAnsi="Aptos" w:eastAsia="Microsoft YaHei" w:cs="Aptos"/>
          <w:color w:val="000000"/>
          <w:sz w:val="21"/>
          <w:szCs w:val="21"/>
        </w:rPr>
        <w:t>• GitHub repository containing rules, data preparation, model experiments, optimisation, KG/API and frontend.</w:t>
      </w:r>
    </w:p>
    <w:p w14:paraId="6E85CDC1">
      <w:pPr>
        <w:spacing w:before="0" w:after="65" w:line="276" w:lineRule="auto"/>
        <w:ind w:left="420" w:hanging="220"/>
      </w:pPr>
      <w:r>
        <w:rPr>
          <w:rFonts w:ascii="Aptos" w:hAnsi="Aptos" w:eastAsia="Microsoft YaHei" w:cs="Aptos"/>
          <w:color w:val="000000"/>
          <w:sz w:val="21"/>
          <w:szCs w:val="21"/>
        </w:rPr>
        <w:t>• Formal report, user manual, personal reflections and a submission archive organised to course requirements.</w:t>
      </w:r>
    </w:p>
    <w:p w14:paraId="472CED61">
      <w:pPr>
        <w:spacing w:before="0" w:after="65" w:line="276" w:lineRule="auto"/>
        <w:ind w:left="420" w:hanging="220"/>
      </w:pPr>
      <w:r>
        <w:rPr>
          <w:rFonts w:ascii="Aptos" w:hAnsi="Aptos" w:eastAsia="Microsoft YaHei" w:cs="Aptos"/>
          <w:color w:val="000000"/>
          <w:sz w:val="21"/>
          <w:szCs w:val="21"/>
        </w:rPr>
        <w:t>• Two five-minute videos covering the workflow and methods/evaluation, identifying simulated and incomplete parts.</w:t>
      </w:r>
    </w:p>
    <w:p w14:paraId="644F5CC7">
      <w:pPr>
        <w:spacing w:before="0" w:after="65" w:line="276" w:lineRule="auto"/>
        <w:ind w:left="420" w:hanging="220"/>
      </w:pPr>
      <w:r>
        <w:rPr>
          <w:rFonts w:ascii="Aptos" w:hAnsi="Aptos" w:eastAsia="Microsoft YaHei" w:cs="Aptos"/>
          <w:color w:val="000000"/>
          <w:sz w:val="21"/>
          <w:szCs w:val="21"/>
        </w:rPr>
        <w:t>• Reproduction instructions, rule assumptions and sources, annotation findings, route metrics and QA evaluation cases.</w:t>
      </w:r>
    </w:p>
    <w:p w14:paraId="74D78B4F">
      <w:pPr>
        <w:spacing w:before="0" w:after="95" w:line="276" w:lineRule="auto"/>
      </w:pPr>
      <w:r>
        <w:rPr>
          <w:rFonts w:ascii="Aptos" w:hAnsi="Aptos" w:eastAsia="Microsoft YaHei" w:cs="Aptos"/>
          <w:color w:val="000000"/>
          <w:sz w:val="21"/>
          <w:szCs w:val="21"/>
        </w:rPr>
        <w:t>The Markdown files are the revised bilingual proposal sources, and the Chinese Word proposal has been regenerated from this version. Before submission, check PPT consistency and complete the submission records. Content revision does not itself mean W0 has been submitted.</w:t>
      </w:r>
    </w:p>
    <w:p w14:paraId="10E74EFE">
      <w:pPr>
        <w:keepNext/>
        <w:spacing w:before="260" w:after="100" w:line="300" w:lineRule="auto"/>
      </w:pPr>
      <w:r>
        <w:rPr>
          <w:rFonts w:ascii="Aptos" w:hAnsi="Aptos" w:eastAsia="Microsoft YaHei" w:cs="Aptos"/>
          <w:b/>
          <w:bCs/>
          <w:color w:val="000000"/>
          <w:sz w:val="28"/>
          <w:szCs w:val="28"/>
        </w:rPr>
        <w:t>13. Conclusion</w:t>
      </w:r>
    </w:p>
    <w:p w14:paraId="76DBB644">
      <w:pPr>
        <w:spacing w:before="0" w:after="95" w:line="276" w:lineRule="auto"/>
      </w:pPr>
      <w:r>
        <w:rPr>
          <w:rFonts w:ascii="Aptos" w:hAnsi="Aptos" w:eastAsia="Microsoft YaHei" w:cs="Aptos"/>
          <w:color w:val="000000"/>
          <w:sz w:val="21"/>
          <w:szCs w:val="21"/>
        </w:rPr>
        <w:t>PharmaColdOps now has a rule-decision core, independent human annotations, offline experiments and routing over real Singapore roads. Results also expose specification disagreements, limited cause-classification performance and gaps in data provenance and product-threshold evidence, informing the remaining evaluation.</w:t>
      </w:r>
    </w:p>
    <w:p w14:paraId="42DD5061">
      <w:pPr>
        <w:spacing w:before="0" w:after="95" w:line="276" w:lineRule="auto"/>
      </w:pPr>
      <w:r>
        <w:rPr>
          <w:rFonts w:ascii="Aptos" w:hAnsi="Aptos" w:eastAsia="Microsoft YaHei" w:cs="Aptos"/>
          <w:color w:val="000000"/>
          <w:sz w:val="21"/>
          <w:szCs w:val="21"/>
        </w:rPr>
        <w:t>The remaining priority is to connect replacement demand, route results and case evidence into an explainable, reproducible workflow with explicit applicability limits by 2026-10-25. Integration and evaluation demonstrate the four IRS technique groups; unverified clinical, operational or compliance benefits are not completion criteria.</w:t>
      </w:r>
    </w:p>
    <w:p w14:paraId="197E2450">
      <w:pPr>
        <w:keepNext/>
        <w:spacing w:before="260" w:after="100" w:line="300" w:lineRule="auto"/>
      </w:pPr>
      <w:r>
        <w:rPr>
          <w:rFonts w:ascii="Aptos" w:hAnsi="Aptos" w:eastAsia="Microsoft YaHei" w:cs="Aptos"/>
          <w:b/>
          <w:bCs/>
          <w:color w:val="000000"/>
          <w:sz w:val="28"/>
          <w:szCs w:val="28"/>
        </w:rPr>
        <w:t>14. References and Project Evidence</w:t>
      </w:r>
    </w:p>
    <w:p w14:paraId="481E8CD2">
      <w:pPr>
        <w:spacing w:before="0" w:after="65" w:line="276" w:lineRule="auto"/>
        <w:ind w:left="420" w:hanging="220"/>
      </w:pPr>
      <w:r>
        <w:rPr>
          <w:rFonts w:ascii="Aptos" w:hAnsi="Aptos" w:eastAsia="Microsoft YaHei" w:cs="Aptos"/>
          <w:color w:val="000000"/>
          <w:sz w:val="21"/>
          <w:szCs w:val="21"/>
        </w:rPr>
        <w:t>• WHO. TRS 961 Annex 9 (https://www.who.int/publications/m/item/trs961-annex9-modelguidanceforstoragetransport).</w:t>
      </w:r>
    </w:p>
    <w:p w14:paraId="7F39FF5D">
      <w:pPr>
        <w:spacing w:before="0" w:after="65" w:line="276" w:lineRule="auto"/>
        <w:ind w:left="420" w:hanging="220"/>
      </w:pPr>
      <w:r>
        <w:rPr>
          <w:rFonts w:ascii="Aptos" w:hAnsi="Aptos" w:eastAsia="Microsoft YaHei" w:cs="Aptos"/>
          <w:color w:val="000000"/>
          <w:sz w:val="21"/>
          <w:szCs w:val="21"/>
        </w:rPr>
        <w:t>• European Commission. GDP 2013/C 343/01 (https://eur-lex.europa.eu/legal-content/EN/TXT/?uri=CELEX%3A32013C0343).</w:t>
      </w:r>
    </w:p>
    <w:p w14:paraId="4E17FFCD">
      <w:pPr>
        <w:spacing w:before="0" w:after="65" w:line="276" w:lineRule="auto"/>
        <w:ind w:left="420" w:hanging="220"/>
      </w:pPr>
      <w:r>
        <w:rPr>
          <w:rFonts w:ascii="Aptos" w:hAnsi="Aptos" w:eastAsia="Microsoft YaHei" w:cs="Aptos"/>
          <w:color w:val="000000"/>
          <w:sz w:val="21"/>
          <w:szCs w:val="21"/>
        </w:rPr>
        <w:t>• ICH. Quality Guidelines (https://www.ich.org/page/quality-guidelines).</w:t>
      </w:r>
    </w:p>
    <w:p w14:paraId="13FA9B75">
      <w:pPr>
        <w:spacing w:before="0" w:after="65" w:line="276" w:lineRule="auto"/>
        <w:ind w:left="420" w:hanging="220"/>
      </w:pPr>
      <w:r>
        <w:rPr>
          <w:rFonts w:ascii="Aptos" w:hAnsi="Aptos" w:eastAsia="Microsoft YaHei" w:cs="Aptos"/>
          <w:color w:val="000000"/>
          <w:sz w:val="21"/>
          <w:szCs w:val="21"/>
        </w:rPr>
        <w:t>• CDC. Vaccine Storage and Handling (https://www.cdc.gov/pinkbook/hcp/table-of-contents/chapter-5-vaccine-storage-and-handling.html).</w:t>
      </w:r>
    </w:p>
    <w:p w14:paraId="30A8845A">
      <w:pPr>
        <w:spacing w:before="0" w:after="65" w:line="276" w:lineRule="auto"/>
        <w:ind w:left="420" w:hanging="220"/>
      </w:pPr>
      <w:r>
        <w:rPr>
          <w:rFonts w:ascii="Aptos" w:hAnsi="Aptos" w:eastAsia="Microsoft YaHei" w:cs="Aptos"/>
          <w:color w:val="000000"/>
          <w:sz w:val="21"/>
          <w:szCs w:val="21"/>
        </w:rPr>
        <w:t>• Controlant. Applications and Product Stability Automation (https://www.controlant.com/applications), checked 2026-09-12; vendor description.</w:t>
      </w:r>
    </w:p>
    <w:p w14:paraId="786CF388">
      <w:pPr>
        <w:spacing w:before="0" w:after="65" w:line="276" w:lineRule="auto"/>
        <w:ind w:left="420" w:hanging="220"/>
      </w:pPr>
      <w:r>
        <w:rPr>
          <w:rFonts w:ascii="Aptos" w:hAnsi="Aptos" w:eastAsia="Microsoft YaHei" w:cs="Aptos"/>
          <w:color w:val="000000"/>
          <w:sz w:val="21"/>
          <w:szCs w:val="21"/>
        </w:rPr>
        <w:t>• Solomon, M. M. (1987). Algorithms for the Vehicle Routing and Scheduling Problems with Time Window Constraints (https://doi.org/10.1287/opre.35.2.254). Operations Research, 35(2), 254–265.</w:t>
      </w:r>
    </w:p>
    <w:p w14:paraId="01142C73">
      <w:pPr>
        <w:spacing w:before="0" w:after="65" w:line="276" w:lineRule="auto"/>
        <w:ind w:left="420" w:hanging="220"/>
      </w:pPr>
      <w:r>
        <w:rPr>
          <w:rFonts w:ascii="Aptos" w:hAnsi="Aptos" w:eastAsia="Microsoft YaHei" w:cs="Aptos"/>
          <w:color w:val="000000"/>
          <w:sz w:val="21"/>
          <w:szCs w:val="21"/>
        </w:rPr>
        <w:t>• Chen, T., &amp; Guestrin, C. (2016). XGBoost: A Scalable Tree Boosting System (https://arxiv.org/abs/1603.02754). ACM SIGKDD.</w:t>
      </w:r>
    </w:p>
    <w:p w14:paraId="1B774EDD">
      <w:pPr>
        <w:spacing w:before="0" w:after="65" w:line="276" w:lineRule="auto"/>
        <w:ind w:left="420" w:hanging="220"/>
      </w:pPr>
      <w:r>
        <w:rPr>
          <w:rFonts w:ascii="Aptos" w:hAnsi="Aptos" w:eastAsia="Microsoft YaHei" w:cs="Aptos"/>
          <w:color w:val="000000"/>
          <w:sz w:val="21"/>
          <w:szCs w:val="21"/>
        </w:rPr>
        <w:t>• Ke, G., et al. (2017). LightGBM: A Highly Efficient Gradient Boosting Decision Tree (https://papers.nips.cc/paper/6907-lightgbm-a-highly-efficient-gradient-boosting-decision-tree). NeurIPS.</w:t>
      </w:r>
    </w:p>
    <w:p w14:paraId="5102582C">
      <w:pPr>
        <w:spacing w:before="0" w:after="65" w:line="276" w:lineRule="auto"/>
        <w:ind w:left="420" w:hanging="220"/>
      </w:pPr>
      <w:r>
        <w:rPr>
          <w:rFonts w:ascii="Aptos" w:hAnsi="Aptos" w:eastAsia="Microsoft YaHei" w:cs="Aptos"/>
          <w:color w:val="000000"/>
          <w:sz w:val="21"/>
          <w:szCs w:val="21"/>
        </w:rPr>
        <w:t>• Lundberg, S. M., &amp; Lee, S.-I. (2017). A Unified Approach to Interpreting Model Predictions (https://arxiv.org/abs/1705.07874). NeurIPS.</w:t>
      </w:r>
    </w:p>
    <w:p w14:paraId="4C23A1D2">
      <w:pPr>
        <w:spacing w:before="0" w:after="65" w:line="276" w:lineRule="auto"/>
        <w:ind w:left="420" w:hanging="220"/>
      </w:pPr>
      <w:r>
        <w:rPr>
          <w:rFonts w:ascii="Aptos" w:hAnsi="Aptos" w:eastAsia="Microsoft YaHei" w:cs="Aptos"/>
          <w:color w:val="000000"/>
          <w:sz w:val="21"/>
          <w:szCs w:val="21"/>
        </w:rPr>
        <w:t>• Google. OR-Tools Routing Options (https://developers.google.com/optimization/routing/routing_options).</w:t>
      </w:r>
    </w:p>
    <w:p w14:paraId="49B132A1">
      <w:pPr>
        <w:spacing w:before="0" w:after="65" w:line="276" w:lineRule="auto"/>
        <w:ind w:left="420" w:hanging="220"/>
      </w:pPr>
      <w:r>
        <w:rPr>
          <w:rFonts w:ascii="Aptos" w:hAnsi="Aptos" w:eastAsia="Microsoft YaHei" w:cs="Aptos"/>
          <w:color w:val="000000"/>
          <w:sz w:val="21"/>
          <w:szCs w:val="21"/>
        </w:rPr>
        <w:t>• OpenStreetMap contributors. Copyright and ODbL (https://www.openstreetmap.org/copyright).</w:t>
      </w:r>
    </w:p>
    <w:p w14:paraId="6DF2485F">
      <w:pPr>
        <w:spacing w:before="0" w:after="65" w:line="276" w:lineRule="auto"/>
        <w:ind w:left="420" w:hanging="220"/>
      </w:pPr>
      <w:r>
        <w:rPr>
          <w:rFonts w:ascii="Aptos" w:hAnsi="Aptos" w:eastAsia="Microsoft YaHei" w:cs="Aptos"/>
          <w:color w:val="000000"/>
          <w:sz w:val="21"/>
          <w:szCs w:val="21"/>
        </w:rPr>
        <w:t>• Dataset links appear in §7.1. Project evidence: DATA_DICTIONARY (../data/ml/DATA_DICTIONARY.md), PROGRESS (../PROGRESS.md), Network assumptions (../docs/singapore_network_assumptions.md), Annotation statistics (../data/processed/agreement_stats.md), PROVENANCE (../data/processed/PROVENANCE.md).</w:t>
      </w:r>
    </w:p>
    <w:p w14:paraId="65496C75">
      <w:pPr>
        <w:spacing w:before="0" w:after="65" w:line="276" w:lineRule="auto"/>
        <w:ind w:left="420" w:hanging="220"/>
      </w:pPr>
      <w:r>
        <w:rPr>
          <w:rFonts w:ascii="Aptos" w:hAnsi="Aptos" w:eastAsia="Microsoft YaHei" w:cs="Aptos"/>
          <w:color w:val="000000"/>
          <w:sz w:val="21"/>
          <w:szCs w:val="21"/>
        </w:rPr>
        <w:t>• NUS-ISS. IRS proposal and final presentation guidelines v016 (IRS%20practice%20module%20project%20proposal%20%26%20final%20presentation%20guidelines%20v016.pdf), course-supplied material.</w:t>
      </w:r>
    </w:p>
    <w:p w14:paraId="7CD06ACD">
      <w:pPr>
        <w:keepNext/>
        <w:spacing w:before="260" w:after="100" w:line="300" w:lineRule="auto"/>
      </w:pPr>
      <w:r>
        <w:rPr>
          <w:rFonts w:ascii="Aptos" w:hAnsi="Aptos" w:eastAsia="Microsoft YaHei" w:cs="Aptos"/>
          <w:b/>
          <w:bCs/>
          <w:color w:val="000000"/>
          <w:sz w:val="28"/>
          <w:szCs w:val="28"/>
        </w:rPr>
        <w:t>15. Supplementary Note on AI Use</w:t>
      </w:r>
    </w:p>
    <w:p w14:paraId="2AB446D8">
      <w:pPr>
        <w:spacing w:before="0" w:after="95" w:line="276" w:lineRule="auto"/>
      </w:pPr>
      <w:r>
        <w:rPr>
          <w:rFonts w:ascii="Aptos" w:hAnsi="Aptos" w:eastAsia="Microsoft YaHei" w:cs="Aptos"/>
          <w:color w:val="000000"/>
          <w:sz w:val="21"/>
          <w:szCs w:val="21"/>
        </w:rPr>
        <w:t>Generative AI assisted drafting, translation, layout and cross-checking: Claude for earlier drafts and Codex for this revision. AI also assisted scenario drafts and development. Human gold comes from independent B/C annotation and A's arbitration. AI output is not stability or compliance evidence. The team is responsible for citations, rule assumptions, experiment reproduction and submission materials. Incomplete product-level and external validation are disclosed in the proposal.</w:t>
      </w:r>
    </w:p>
    <w:sectPr>
      <w:pgSz w:w="12240" w:h="15840"/>
      <w:pgMar w:top="1080" w:right="1080" w:bottom="1080"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image1.svg"/><Relationship Id="rIdImg2" Type="http://schemas.openxmlformats.org/officeDocument/2006/relationships/image" Target="media/image2.svg"/><Relationship Id="rIdImg3" Type="http://schemas.openxmlformats.org/officeDocument/2006/relationships/image" Target="media/image3.svg"/><Relationship Id="rIdImg4" Type="http://schemas.openxmlformats.org/officeDocument/2006/relationships/image" Target="media/image4.sv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svg"/><Relationship Id="rIdImg8" Type="http://schemas.openxmlformats.org/officeDocument/2006/relationships/image" Target="media/image8.svg"/><Relationship Id="rIdImg9" Type="http://schemas.openxmlformats.org/officeDocument/2006/relationships/image" Target="media/image9.svg"/><Relationship Id="rId9" Type="http://schemas.openxmlformats.org/officeDocument/2006/relationships/image" Target="media/image10.svg"/><Relationship Id="rId10" Type="http://schemas.openxmlformats.org/officeDocument/2006/relationships/image" Target="media/image11.svg"/><Relationship Id="rId11" Type="http://schemas.openxmlformats.org/officeDocument/2006/relationships/image" Target="media/image12.svg"/><Relationship Id="rId12" Type="http://schemas.openxmlformats.org/officeDocument/2006/relationships/image" Target="media/image13.svg"/><Relationship Id="rId13" Type="http://schemas.openxmlformats.org/officeDocument/2006/relationships/image" Target="media/image14.png"/><Relationship Id="rId14" Type="http://schemas.openxmlformats.org/officeDocument/2006/relationships/image" Target="media/image15.png"/><Relationship Id="rId15" Type="http://schemas.openxmlformats.org/officeDocument/2006/relationships/image" Target="media/image16.svg"/><Relationship Id="rId16" Type="http://schemas.openxmlformats.org/officeDocument/2006/relationships/image" Target="media/image17.svg"/><Relationship Id="rId17" Type="http://schemas.openxmlformats.org/officeDocument/2006/relationships/image" Target="media/image18.svg"/><Relationship Id="rId18" Type="http://schemas.openxmlformats.org/officeDocument/2006/relationships/image" Target="media/image19.svg"/><Relationship Id="rId19" Type="http://schemas.openxmlformats.org/officeDocument/2006/relationships/image" Target="media/image20.svg"/><Relationship Id="rId20" Type="http://schemas.openxmlformats.org/officeDocument/2006/relationships/image" Target="media/image21.svg"/><Relationship Id="rId21" Type="http://schemas.openxmlformats.org/officeDocument/2006/relationships/image" Target="media/image22.svg"/><Relationship Id="rId22" Type="http://schemas.openxmlformats.org/officeDocument/2006/relationships/image" Target="media/image23.png"/><Relationship Id="rId23" Type="http://schemas.openxmlformats.org/officeDocument/2006/relationships/image" Target="media/image24.png"/><Relationship Id="rId24" Type="http://schemas.openxmlformats.org/officeDocument/2006/relationships/image" Target="media/image25.svg"/><Relationship Id="rId25" Type="http://schemas.openxmlformats.org/officeDocument/2006/relationships/image" Target="media/image26.svg"/><Relationship Id="rId26" Type="http://schemas.openxmlformats.org/officeDocument/2006/relationships/image" Target="media/image2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PharmaColdOps 项目提案</dc:title>
  <dc:subject>冷链药品温度偏移处置与配送改派决策支持原型</dc:subject>
  <dc:creator>PharmaColdOps Team</dc:creator>
  <cp:lastModifiedBy>Codex</cp:lastModifiedBy>
  <dcterms:created xsi:type="dcterms:W3CDTF">2026-09-13T06:44:08Z</dcterms:created>
  <dcterms:modified xsi:type="dcterms:W3CDTF">2026-09-13T06:47:51.196Z</dcterms:modified>
</cp:coreProperties>
</file>