
<file path=[Content_Types].xml><?xml version="1.0" encoding="utf-8"?>
<Types xmlns="http://schemas.openxmlformats.org/package/2006/content-types">
  <Default Extension="svg" ContentType="image/svg+xml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 xmlns:xml="http://www.w3.org/XML/1998/namespace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80" w:line="320" w:lineRule="auto"/>
      </w:pPr>
      <w:r>
        <w:rPr>
          <w:rFonts w:ascii="Aptos" w:hAnsi="Aptos" w:eastAsia="Microsoft YaHei"/>
          <w:sz w:val="40"/>
          <w:szCs w:val="40"/>
          <w:color w:val="000000"/>
          <w:b/>
          <w:bCs/>
        </w:rPr>
        <w:t>PharmaColdOps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冷链药品温度偏移处置与配送改派决策支持原型</w:t>
      </w:r>
    </w:p>
    <w:p>
      <w:pPr>
        <w:spacing w:before="0" w:after="80" w:line="276" w:lineRule="auto"/>
      </w:pPr>
      <w:r>
        <w:rPr>
          <w:rFonts w:ascii="Aptos" w:hAnsi="Aptos" w:eastAsia="Microsoft YaHei"/>
          <w:sz w:val="23"/>
          <w:szCs w:val="23"/>
          <w:color w:val="000000"/>
          <w:b/>
          <w:bCs/>
        </w:rPr>
        <w:t>正式项目提案（4 人团队）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课程：IRS 实践模块 · 团队规模：4 人（每人约 10 人日） 提案提交截止：2026-09-13 · 最终提交截止：2026-10-25 本版更新：2026-09-13 · 状态：内容修订稿，尚待团队终审与提交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组名：Project Group 52（Canvas 注册）。成员：Xu Wenzhe（A0328771W）、Zhu Jianyu（A0353769L）、Wang Lepeng（A0357864L）、Shen Ziyi（A0350940J）。本文以 A/B/C/D 表示职责，对照见 §10.1。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1. 项目概述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PharmaColdOps 面向药品冷链运输与仓储中的温度偏移评估，以确定性规则引擎产生可追溯的处置建议，并将补发需求连接到配送优化与知识图谱查询。批次处置分为放行、隔离、复检和报废四类；补发是独立物流动作，不是第五个互斥处置类别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项目覆盖 IRS 的决策自动化、资源优化、知识发现与数据挖掘、认知系统四个技术组。交付目标是在受控的新加坡配送算例中演示“温度事件 → 处置建议 → 补发单 → 配送方案 → 证据查询”的最小闭环。风险预测与候选根因分类作为离线实验，不进入处置 API。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截至 2026-09-13，规则引擎、双语界面、独立标注场景库、离线 ML 基线、新加坡路线求解、订单驱动的补发求解以及 KG 结案写入代码已有成果；前端对已归档的补发案例会调用真实路线求解与图谱问答端点。订单驱动的调度界面与候选目的地池扩充仍待建设。本原型不替代质量负责人的最终审批，不宣称已通过生产环境或正式合规验证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2. 问题定义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温度偏移发生后，质量人员需要核对产品要求、偏移条件与包装信息，记录评估理由，再协调后续供应。项目关注三个可验证的问题：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同一套书面规则能否被稳定实现，并暴露规则文本与人工判断之间的分歧？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在车辆容量与配送时间窗约束下，优化方案相对贪心基线能改善多少距离和服务可行性？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用户能否从结案记录追溯输入、规则路径与证据，并在缺少记录时获得明确反馈？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减少人工评估时间、避免不当处置和缓解供应中断是预期业务价值。当前没有真实运营对照试验，不能将其表述为已量化实现的收益。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3. 背景与领域基础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3.1 法规原则与适用边界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领域知识来源包括 WHO TRS 961 Annex 9、EU GDP 2013/C 343/01、ICH 稳定性与质量风险管理指南，以及 CDC/WHO 公开程序性指引。具体产品的可接受偏移窗口仍需对应产品的稳定性证据。WHO (https://www.who.int/publications/m/item/trs961-annex9-modelguidanceforstoragetransport)、EU GDP (https://eur-lex.europa.eu/legal-content/EN/TXT/?uri=CELEX%3A32013C0343)、ICH (https://www.ich.org/page/quality-guidelines)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本项目区分公开领域原则、产品稳定性资料和工程假设。当前配置记录了来源与限制，但允许偏移时长、MKT 阈值、部分复检设置及规则倍率仍含工程假设，不是法规直接给出的通用数值。关联法规节点不证明某个阈值已得到产品级验证。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CDC 的疫苗偏移指引要求暂停使用受影响疫苗，并联系免疫项目或厂商获取处置指导。本原型输出应理解为待质量复核的建议，不能用演示阈值直接授权实际产品放行或销毁。CDC 储存与处理指南 (https://www.cdc.gov/pinkbook/hcp/table-of-contents/chapter-5-vaccine-storage-and-handling.html)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3.2 相关工作与方法选择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Solomon 的 VRPTW 基准提供带容量和时间窗的标准配送问题。本项目用 6 个实例比较算法，再用新加坡道路矩阵展示地理场景。OR-Tools Routing Solver 提供路径构造与局部搜索，本项目采用限时 Guided Local Search。Solomon, 1987 (https://doi.org/10.1287/opre.35.2.254)、OR-Tools (https://developers.google.com/optimization/routing/routing_options)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风险实验采用逻辑回归、LightGBM 和 XGBoost；SHAP 用于解释模型对表格特征的依赖。认知模块采用结构化图谱和模板查询，范围限定为已存储案例、规则及证据。方法原始论文见 §14。特征归因和观察数据上的原因分类不等于因果识别。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项目贡献是上述方法在受控流程中的集成与可复现评估，不主张提出新基础算法或首次将这些技术用于冷链。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3.3 市场背景与定位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商业产品已覆盖温度监控、运输可视化和部分质量流程自动化。例如，Controlant 的 Product Stability Automation 描述了依据产品稳定性档案自动确定放行状态的能力，不能把现有厂商概括为“只告警、没有处置能力”。Controlant 产品说明 (https://www.controlant.com/applications)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项目定位为可检查规则、可复现实验、可演示配送联动的教学研究原型。比较维度包括规则透明度、证据追溯、配送接口和部署范围；未核实的竞品能力标为未知，不把缺少公开说明视作功能不存在。市场价值仍需用户访谈和运营数据检验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188970"/>
            <wp:effectExtent l="0" t="0" r="0" b="0"/>
            <wp:docPr id="1" name="图 1 能力与范围对照" descr="图 1 能力与范围对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图 1 能力与范围对照"/>
                    <pic:cNvPicPr>
                      <a:picLocks noChangeAspect="1" noChangeArrowheads="1"/>
                    </pic:cNvPicPr>
                  </pic:nvPicPr>
                  <pic:blipFill>
                    <a:blip r:embed="rIdImg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1：</w:t>
      </w:r>
      <w:r>
        <w:rPr>
          <w:rFonts w:ascii="Aptos" w:hAnsi="Aptos" w:eastAsia="Microsoft YaHei"/>
          <w:sz w:val="21"/>
          <w:szCs w:val="21"/>
          <w:color w:val="000000"/>
        </w:rPr>
        <w:t>冷链决策支持能力与本项目范围，不是竞品性能排名。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4. 利益相关方与预期价值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用户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工作需求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原型支持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质量负责人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复核偏移与处置依据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输入快照、规则路径、证据来源和限制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物流调度员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根据补发需求安排配送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容量与时间窗约束下的候选路线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仓储与运输主管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调查异常相关因素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离线风险分析与候选原因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审计人员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重建一次评估过程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结案记录、关联标识与证据查询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最终审批与配送执行由人员负责。项目不收集患者数据，不评估临床结局。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5. 总体系统方案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5.1 目标工作流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1. 输入有明确产品类别的温度事件。当前通过表单或演示数据输入，序列解析为后续数据任务。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2. 规则引擎返回四类处置之一、补发标志、规则编号、理由和证据状态。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3. 质量人员复核建议。当前结案仅保存输入与系统建议；最终人工决定与审批人字段待设计，配送运行状态另记接受、出发与逐单送达。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4. 需要补发时，依据已确认的契约提交含目的地、数量与时间窗的模拟补发单，交由单仓求解器求解。契约、求解器与运行状态持久化均已实现并通过测试；前端尚无配送调度界面。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5. 关联案例和配送结果，展示站序、距离、排程与未服务订单，并查询本次案例的图谱证据。已归档的补发案例已能拉取实时路线与本次案例的图谱回答；选择目的地与数量的界面待建。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结案归档不等于获得真实业务结果。自动反馈学习不在 MVP 内。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5.2 当前进展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模块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截至 2026-09-13 的状态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待补齐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M1 数据准备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数据、字典、许可核实及审计脚本已有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任务定义和复现环境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M2 事件生成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演示导出已有，MKT 为单点近似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序列窗口、MKT 实现与验证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M3 规则引擎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4 类别原型、6 规则、API、57 场景人工 gold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领域复核、分歧分析和正式评估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M4 风险与原因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LR/LGBM/XGB、SHAP、10 类原因实验已有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多折实验、特征可用性与失败分析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M5 配送优化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贪心、Routing Solver、真实路网、补发/调度求解与运行状态持久化已有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订单驱动的调度界面与候选池扩充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M6 图谱问答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schema、加载、结案写入、查询函数、HTTP 端点与前端回答已有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证据评估与相关性评分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M7 集成展示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Vue 双语、离线/API 双模式、结案历史已有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闭环验收与故障状态检查</w:t>
            </w:r>
          </w:p>
        </w:tc>
      </w:tr>
    </w:tbl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6. 技术方案与 IRS 技术映射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6.1 技术映射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IRS 技术组</w:t>
            </w:r>
          </w:p>
        </w:tc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实现与评估对象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决策自动化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确定性优先规则、四类处置与独立补发动作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资源优化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贪心与 OR-Tools Routing Solver 的容量约束 VRPTW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知识发现与数据挖掘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运输级失效分类、设施级候选原因分类、SHAP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认知系统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Neo4j、模板 Cypher 查询和证据追溯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M1 和 M7 为工程支撑。ML 分数不进入决策 API，规则引擎是在线处置建议的唯一语义来源。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6.2 规则处置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输入为产品类别、偏移温度、持续分钟数、MKT、包装状态和运输阶段。阶段目前随记录保存，不改变规则分支；历史异常尚未作为判定特征。4 个类别原型为 vaccine_2_8、frozen_m20、insulin_2_8、mrna_ultracold，均不代表已验证的品牌产品配置。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规则按优先级匹配，首条命中即结束：冻结风险、包装破损并超温、严重时长/MKT 越限、一般时长/MKT 越限、可复检产品近限值、其余情形。输出为 release / quarantine / retest / scrap。当前在 quarantine 或 scrap 时将 reshipment_required 设为 true，这是需单独验证的物流默认策略。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行为源为 rules_config.json 和 Python 引擎，前端离线版实现相同语义。沙箱覆盖值仅作用于当前请求，并随结案保存。非冻敏产品低温越界、单阈值近似多级稳定性窗口，以及第 4 条隔离/报废政策仍有已知限制。不会为了提高 gold 一致率直接修改规则或标签。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838575"/>
            <wp:effectExtent l="0" t="0" r="0" b="0"/>
            <wp:docPr id="2" name="图 2 规则与输出语义" descr="图 2 规则与输出语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图 2 规则与输出语义"/>
                    <pic:cNvPicPr>
                      <a:picLocks noChangeAspect="1" noChangeArrowheads="1"/>
                    </pic:cNvPicPr>
                  </pic:nvPicPr>
                  <pic:blipFill>
                    <a:blip r:embed="rIdImg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2：</w:t>
      </w:r>
      <w:r>
        <w:rPr>
          <w:rFonts w:ascii="Aptos" w:hAnsi="Aptos" w:eastAsia="Microsoft YaHei"/>
          <w:sz w:val="21"/>
          <w:szCs w:val="21"/>
          <w:color w:val="000000"/>
        </w:rPr>
        <w:t>四类处置与独立补发标志。阈值含原型假设，建议须经质量复核。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6.3 风险分类与候选原因分析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风险任务以 8,000 条运输级摘要中的 silent_failure 为目标，比较 LR、LightGBM、XGBoost，并对可解释特征与加入匿名特征的版本作对照。当前采用 70/15/15 分层随机划分，验证集选择 F1 阈值，填补与缩放仅在训练集拟合。特征包括运输时长、温度摘要、开门次数和湿度统计，不能直接表述为使用当前 API 的 MKT 或阶段字段。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该数据没有时间戳，也没有相对预测时刻定义的前瞻标签，因此定位为运输级失效分类，不声称提前 30/60 分钟预警。界面风险指数与 cause_code 来自确定性启发式，不是 ML 推理结果。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候选原因任务在设施月度仿真数据的 16,192 条热/冻偏移记录上区分 10 类原因，当前采用 80/20 分层随机划分。特征为设备、电源、监测及疫苗上下文；需检查诊断时可用性及同设施记录跨集合的影响。结果列能否作为输入应按任务时点论证。SHAP 表示模型关联，不证明设备故障的因果关系。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6.4 配送优化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模型为单仓、同容量车辆、客户服务时间窗、服务时长及返仓时限约束的 VRPTW，目标是最小化行驶距离。实现使用 RoutingModel、PATH_CHEAPEST_ARC 初解和 GUIDED_LOCAL_SEARCH，不是 CP-SAT；限时解没有全局最优保证。贪心可行解是比较基线，不是目标函数下界。OR-Tools 文档 (https://developers.google.com/optimization/routing/routing_options)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6 个 Solomon 实例用于标准比较；新加坡算例包含 1 仓、10 医院与真实 OSM 有向矩阵，距离为 km、时间为 min。时间是自由流估计，不含实时拥堵。需求、车队及服务窗口均为模拟假设，不表示设施间存在真实业务关系。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当前 Vue 对演示案例展示预计算路线，对已归档的补发案例会实时取路线，温度变化不触发重求解。单仓补发求解已按「一组目的地 + 数量 + 时间窗」的订单形式实现并可通过 HTTP 调用；订单驱动的调度界面待建设。替代库存选择、多温区、碳排放和报废损失目标列为扩展。遗传算法仅在主链验收后考虑，不作为必交算法。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366135"/>
            <wp:effectExtent l="0" t="0" r="0" b="0"/>
            <wp:docPr id="3" name="图 3 新加坡配送算例" descr="图 3 新加坡配送算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图 3 新加坡配送算例"/>
                    <pic:cNvPicPr>
                      <a:picLocks noChangeAspect="1" noChangeArrowheads="1"/>
                    </pic:cNvPicPr>
                  </pic:nvPicPr>
                  <pic:blipFill>
                    <a:blip r:embed="rIdImg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3：</w:t>
      </w:r>
      <w:r>
        <w:rPr>
          <w:rFonts w:ascii="Aptos" w:hAnsi="Aptos" w:eastAsia="Microsoft YaHei"/>
          <w:sz w:val="21"/>
          <w:szCs w:val="21"/>
          <w:color w:val="000000"/>
        </w:rPr>
        <w:t>真实路网、模拟业务及已记录的限时结果，非实时车辆跟踪。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6.5 知识图谱与问答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Neo4j 图谱包含 Product、Regulation、SOP、ExcursionEvent、Disposition、Cause、Facility、Shipment、ReshipmentOrder 等实体。法规、公开程序性指引、产品配置、新加坡设施与数据集记录保留来源语义。Kaggle 的约 8,000 条运输级记录真实性未确认、疑似合成，不称为真实药企运输记录；匿名区域不能直接映射到新加坡医院。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case_close 保存记录并尝试写入图谱，decide 预览不归档。Cause 目前来自 API 启发式原因代码，不是 ML 推断或调查证实的根因。补发节点记录的是订单；该订单是否已求解、是否已执行，由调度运行状态（dispatch run state）追踪，不由图谱节点表达。日志与图谱均采用尽力保存，尚不具备审计级持久性保证。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Python 已有按 run_id 查询处置理由、审计链、产品要求及统计的函数；/api/qa 已实现为受限意图识别 + 参数化 Cypher，返回本次案例的证据，并区分无案例、证据不足、不支持的问题和数据库故障——这是结构化的问句类型路由，不是自然语言分类。前端在 API 模式下调用该端点，离线时回退到关键词模板。评估要求证据与具体规则匹配，不能以“有法规链接”代替验证。LLM 不属于 MVP 必需组件。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779520"/>
            <wp:effectExtent l="0" t="0" r="0" b="0"/>
            <wp:docPr id="4" name="图 4 图谱概念与写入边界" descr="图 4 图谱概念与写入边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图 4 图谱概念与写入边界"/>
                    <pic:cNvPicPr>
                      <a:picLocks noChangeAspect="1" noChangeArrowheads="1"/>
                    </pic:cNvPicPr>
                  </pic:nvPicPr>
                  <pic:blipFill>
                    <a:blip r:embed="rIdImg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4：</w:t>
      </w:r>
      <w:r>
        <w:rPr>
          <w:rFonts w:ascii="Aptos" w:hAnsi="Aptos" w:eastAsia="Microsoft YaHei"/>
          <w:sz w:val="21"/>
          <w:szCs w:val="21"/>
          <w:color w:val="000000"/>
        </w:rPr>
        <w:t>案例链概念视图；设施、运输和路线关联受输入契约限制。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4862089" cy="7772400"/>
            <wp:effectExtent l="0" t="0" r="0" b="0"/>
            <wp:docPr id="5" name="演示 决策沙盒" descr="演示 决策沙盒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演示 决策沙盒"/>
                    <pic:cNvPicPr>
                      <a:picLocks noChangeAspect="1" noChangeArrowheads="1"/>
                    </pic:cNvPicPr>
                  </pic:nvPicPr>
                  <pic:blipFill>
                    <a:blip r:embed="rIdImg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2089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演示（2026-09-12）：</w:t>
      </w:r>
      <w:r>
        <w:rPr>
          <w:rFonts w:ascii="Aptos" w:hAnsi="Aptos" w:eastAsia="Microsoft YaHei"/>
          <w:sz w:val="21"/>
          <w:szCs w:val="21"/>
          <w:color w:val="000000"/>
        </w:rPr>
        <w:t>规则建议、路径与启发式风险指数，非人工最终审批结果。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5522699"/>
            <wp:effectExtent l="0" t="0" r="0" b="0"/>
            <wp:docPr id="6" name="演示 路线和问答" descr="演示 路线和问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演示 路线和问答"/>
                    <pic:cNvPicPr>
                      <a:picLocks noChangeAspect="1" noChangeArrowheads="1"/>
                    </pic:cNvPicPr>
                  </pic:nvPicPr>
                  <pic:blipFill>
                    <a:blip r:embed="rIdImg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52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演示（2026-09-13）：</w:t>
      </w:r>
      <w:r>
        <w:rPr>
          <w:rFonts w:ascii="Aptos" w:hAnsi="Aptos" w:eastAsia="Microsoft YaHei"/>
          <w:sz w:val="21"/>
          <w:szCs w:val="21"/>
          <w:color w:val="000000"/>
        </w:rPr>
        <w:t>演示案例的预计算路线，以及一个已归档案例实时取路线、取本案例图谱回答。订单驱动的调度界面因尚未建设而未展示；这不能作为目标闭环已接通的证明。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6.6 系统架构与接口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前端采用 Vue 3、Vite、Pinia、Leaflet，保留旧版静态 demo。在线模式经 FastAPI/Uvicorn 调用 Python 引擎，离线模式使用 JS 移植；结案历史为 JSONL，知识库为 Neo4j。训练和路线导出脚本独立运行。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4015740"/>
            <wp:effectExtent l="0" t="0" r="0" b="0"/>
            <wp:docPr id="7" name="图 5 当前架构" descr="图 5 当前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图 5 当前架构"/>
                    <pic:cNvPicPr>
                      <a:picLocks noChangeAspect="1" noChangeArrowheads="1"/>
                    </pic:cNvPicPr>
                  </pic:nvPicPr>
                  <pic:blipFill>
                    <a:blip r:embed="rIdImg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5：</w:t>
      </w:r>
      <w:r>
        <w:rPr>
          <w:rFonts w:ascii="Aptos" w:hAnsi="Aptos" w:eastAsia="Microsoft YaHei"/>
          <w:sz w:val="21"/>
          <w:szCs w:val="21"/>
          <w:color w:val="000000"/>
        </w:rPr>
        <w:t>区分在线规则主链、离线实验、预计算路线，以及已实现 HTTP 但前端尚未接线的调度接口。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跨成员契约需固定 run_id、order_id、产品、目的地、数量、时间窗、温区兼容性和 ReplanResult 的关联方式，并处理无可行路线、重复结案与存储失败。API 现已承载订单目的地、数量、时间窗、温区与路线结果，并为无可行路线、无可行时间窗定义了响应，为重复命令提供带版本校验的存储；契约上尚缺的是前端调度界面。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779520"/>
            <wp:effectExtent l="0" t="0" r="0" b="0"/>
            <wp:docPr id="8" name="图 6 最小闭环目标" descr="图 6 最小闭环目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图 6 最小闭环目标"/>
                    <pic:cNvPicPr>
                      <a:picLocks noChangeAspect="1" noChangeArrowheads="1"/>
                    </pic:cNvPicPr>
                  </pic:nvPicPr>
                  <pic:blipFill>
                    <a:blip r:embed="rIdImg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6：</w:t>
      </w:r>
      <w:r>
        <w:rPr>
          <w:rFonts w:ascii="Aptos" w:hAnsi="Aptos" w:eastAsia="Microsoft YaHei"/>
          <w:sz w:val="21"/>
          <w:szCs w:val="21"/>
          <w:color w:val="000000"/>
        </w:rPr>
        <w:t>W3 集成验收目标。核心模块已有实现，连接部分仍待完成。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7. 数据收集与预处理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7.1 主要数据集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数据集</w:t>
            </w:r>
          </w:p>
        </w:tc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规模与粒度</w:t>
            </w:r>
          </w:p>
        </w:tc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用途</w:t>
            </w:r>
          </w:p>
        </w:tc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数据性质与许可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Cold Chain Silent Failure (https://www.kaggle.com/datasets/skarin/cold-chain-shipment-silent-failure-dataset)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8,000 × 24；运输摘要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失效二分类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疑似合成；CC0</w:t>
            </w:r>
          </w:p>
        </w:tc>
      </w:tr>
      <w:tr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Vaccine Distribution (https://www.kaggle.com/datasets/manankhanna0/vaccine-distribution-with-temperature-logging)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26,674 × 13；30 批次日志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演示素材、序列任务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疑似合成，含实际地名；CC0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Electric Sheep Africa vaccine-cold-chain (https://huggingface.co/datasets/electricsheepafrica/vaccine-cold-chain)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 × 10,000 × 46；设施月度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候选原因分类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仿真；CC BY 4.0</w:t>
            </w:r>
          </w:p>
        </w:tc>
      </w:tr>
      <w:tr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Africa Synth Immunization (https://huggingface.co/datasets/electricsheepafrica/africa-synth-immunization-vaccine-quality-cold-chain-all)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约 30,000 行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可选质量风险补充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合成；CC BY 4.0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Solomon / CVRPLIB (http://vrp.atd-lab.inf.puc-rio.br/index.php/en/)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已纳入 6 实例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VRPTW 标准对照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抽象基准，保留来源</w:t>
            </w:r>
          </w:p>
        </w:tc>
      </w:tr>
      <w:tr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OpenStreetMap (https://www.openstreetmap.org/copyright) 新加坡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11 设施、11×11 矩阵、110 条有向路径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本地配送算例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真实道路、模拟业务；ODbL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自建场景与人工 gold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57 场景、4 类处置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规则评估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合成场景、独立标注与仲裁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许可核实记录见 数据字典 (../data/ml/DATA_DICTIONARY.md)。保留 Electric Sheep Africa 署名与许可信息，以及 OSM 的相应署名。其他小样本或网络安全数据不作为核心基准。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7.2 领域知识来源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规则依据来自 WHO、EU GDP、ICH 及适用产品资料；程序性节点引用 CDC/WHO 公开指南，不冒充企业内部 SOP。记录来源、适用范围和假设，逐步分开产品级证据与通用原则。尚未完成的规则复核不表述为“全部已验证”。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7.3 预处理与任务边界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各数据按原粒度单独建模，不虚构共有批次 ID 拼接运输、设施月度与新加坡订单。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无时间戳的失效任务使用分层随机划分；多折实验在每折训练部分完成预处理与阈值选择，测试部分仅用于最终评分。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设施月度任务检查重复实体及分组/时间划分可行性，报告相对随机划分的变化。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序列任务先定义产品温区、窗口、缺失处理、MKT 参数和预测时点，防止同批次重叠窗口跨集合泄漏。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当前演示导出按温度推断类别、以单点读数近似 MKT、将包装固定为完整；这些映射不用于验证真实产品稳定性或 MKT 算法。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阈值派生标签只检查事件提取逻辑，不用于证明采用相同阈值的处置规则具有独立领域正确性。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OSMnx 从缓存道路生成有向距离/时间及同路径几何，保留来源指纹；订单和车辆假设单独记录。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8. 实验与评估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8.1 指标与验收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模块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指标与检查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结论边界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风险分类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F1、ROC-AUC、PR-AUC、精确率/召回率、多折均值与标准差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不报告未定义的提前预警指标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处置规则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gold 一致率、macro-F1、各类召回、混淆矩阵、κ、规则覆盖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分开实现符合规则、人工一致性与领域有效性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补发动作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补发政策一致性、订单生成与重复触发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与四类处置分别验收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候选原因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Top-1、Top-3、macro-F1、支持数、失败案例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仿真分类不等于因果诊断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路线优化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距离、车辆数、合计时长、准时率、未服务、违规、运行时间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同实例、同约束、固定预算比较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图谱问答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正确率、案例相关证据覆盖、无证据拒答率、响应时间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引用数量不等于证据相关性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系统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端到端时延、标识关联、快照完整性、异常恢复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分开规则预览、求解和结案耗时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路线评估同时报告未服务订单，避免已服务客户的准时率掩盖失败。对比 Solomon 已发表解前需对齐车辆数目标、距离精度和约束；单个新加坡算例不证明运营节约。系统验收覆盖需补发、不需补发、无可行路线、无证据、服务故障及重复结案。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8.2 基线与阶段结果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下表风险结果于 2026-09-13 用 scripts/train_risk_full.py 在 requirements.txt 记录的仓库环境中复跑得到（seed 42）。数据疑似合成，结果只描述该数据集，不证明真实世界有效性；当前为单次随机划分，尚非多折结果。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风险模型（可解释特征）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验证集阈值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F1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ROC-AUC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PR-AUC</w:t>
            </w:r>
          </w:p>
        </w:tc>
      </w:tr>
      <w:tr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逻辑回归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0.55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0.626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0.891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0.651</w:t>
            </w:r>
          </w:p>
        </w:tc>
      </w:tr>
      <w:tr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LightGBM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0.50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0.691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0.925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0.754</w:t>
            </w:r>
          </w:p>
        </w:tc>
      </w:tr>
      <w:tr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XGBoost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0.45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0.685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0.922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0.731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原因实验中，LightGBM 的 Top-1=0.143、Top-3=0.421、macro-F1=0.125；多数类基线 Top-1=0.161、Top-3=0.284、macro-F1=0.028。Top-1 未超过多数类，结果支持继续研究候选排序和特征定义，不支持宣称可靠根因识别。正式版本需定义无歧义的 Top-3 基线及并列概率处理。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新加坡算例的 2026-09-10 已记录结果：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算法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使用车辆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服务客户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总距离 km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合计路线时长 min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违规 / 未服务</w:t>
            </w:r>
          </w:p>
        </w:tc>
      </w:tr>
      <w:tr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贪心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2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10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142.6305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364.6972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 / 0</w:t>
            </w:r>
          </w:p>
        </w:tc>
      </w:tr>
      <w:tr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OR-Tools Routing（10 秒）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2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10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133.8073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357.5731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 / 0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距离减少约 6.19%。算例提供 3 辆车、各容量 200 单位；医院各需求 30 单位，窗口 09:00–17:00、服务 15 分钟；仓库 08:00–18:00。合计路线时长是各车工作时长之和；限时结果可能随环境变化。实验进度 (../PROGRESS.md)、新加坡说明 (../docs/singapore_network_assumptions.md)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8.3 处置决策 Ground-truth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57 个合成场景由 B/C 仅依据书面 rubric 独立全量标注、A 仲裁。2026-09-12 人工 gold 已替换引擎自产的占位标签。标注者是团队成员，不称为领域专家。原始个人作答保留于私有标注包，仓库保存仲裁标签、结论及指纹。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指标</w:t>
            </w:r>
          </w:p>
        </w:tc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当前结果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B/C 原始一致条数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44/57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标注者间 Cohen's κ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0.6434，未达到原定 0.80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当前引擎与 gold 一致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39/57，68.4%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18 条差异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15 条引擎隔离/gold 报废；2 条引擎放行/gold 隔离；1 条引擎复检/gold 隔离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Gold 数量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放行 13、复检 8、隔离 3、报废 33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高后果类别召回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隔离 0/3；报废 18/33（54.5%）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团队决定如实报告 κ=0.6434，不为提高 κ 修订 rubric 重测，保留 gold 中 3 条隔离。第 4 条隔离/报废仍是领域政策未决项，应按产品证据单独决定。隔离仅 3 条，各类结果需连同支持数报告，不作稳定总体性能推断。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评估分三层：单元测试检查实现符合冻结规则；人工 gold 检查书面规则与团队判断的差异；领域有效性需要适用产品资料或外部复核。测试冻结已知 18 条差异，测试通过不代表一致率 100%，也不证明这些差异均应通过改引擎解决。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本次修订直接运行真实引擎复核了 39/57 及混淆计数。evaluate_engine.py 的 selftest 用 rubric 充当替身引擎，只校验脚本，不能作为性能证据。正式评估仍需输出完整 macro-F1、各类精确率/召回率、κ 和覆盖表，保留版本信息。标注统计 (../data/processed/agreement_stats.md)、标注发现 (../docs/annotation_findings_v1.md)、引擎检查 (../tests/test_rule_engine.py)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外部产品级复核为可选工作，尚未完成。后续如因领域证据修订规则，应版本化并用独立新增案例评估，不把对同批 gold 的调优当作新的独立验证。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9. MVP 与范围控制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必须交付：</w:t>
      </w:r>
      <w:r>
        <w:rPr>
          <w:rFonts w:ascii="Aptos" w:hAnsi="Aptos" w:eastAsia="Microsoft YaHei"/>
          <w:sz w:val="21"/>
          <w:szCs w:val="21"/>
          <w:color w:val="000000"/>
        </w:rPr>
        <w:t>4 个明确标为原型的类别配置；四类处置与独立补发语义；单仓新加坡模拟配送；规则到补发单和路线的连接；真实 KG 查询到前端的接线；案例关联记录；独立规则评估、离线风险与原因实验；中英文界面及复现说明。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补充目标：</w:t>
      </w:r>
      <w:r>
        <w:rPr>
          <w:rFonts w:ascii="Aptos" w:hAnsi="Aptos" w:eastAsia="Microsoft YaHei"/>
          <w:sz w:val="21"/>
          <w:szCs w:val="21"/>
          <w:color w:val="000000"/>
        </w:rPr>
        <w:t>序列事件生成与 MKT 验证、更多路由实例、更严格的数据划分。进度受限时优先完成必交闭环，披露演示输入近似，不把未实现的补充目标算作已交付。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可选扩展：</w:t>
      </w:r>
      <w:r>
        <w:rPr>
          <w:rFonts w:ascii="Aptos" w:hAnsi="Aptos" w:eastAsia="Microsoft YaHei"/>
          <w:sz w:val="21"/>
          <w:szCs w:val="21"/>
          <w:color w:val="000000"/>
        </w:rPr>
        <w:t>提前预警、多级稳定性窗口、多仓库存选择、多温区优化、遗传算法、实时车辆位置、LLM 润色和反馈学习。扩展以主链验收为前提。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明确排除：</w:t>
      </w:r>
      <w:r>
        <w:rPr>
          <w:rFonts w:ascii="Aptos" w:hAnsi="Aptos" w:eastAsia="Microsoft YaHei"/>
          <w:sz w:val="21"/>
          <w:szCs w:val="21"/>
          <w:color w:val="000000"/>
        </w:rPr>
        <w:t>生产 ERP/WMS、真实 IoT 部署、临床验证或正式合规认证、患者数据、自动授权实际药品处置及实际运输执行。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10. 项目计划与团队分工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10.1 成员职责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成员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主责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协作交付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A（Xu Wenzhe）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规则、领域依据、人工评估、报告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补发输入契约和提案终审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B（Zhu Jianyu）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数据、风险、候选原因、实验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数据性质说明和报告指标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C（Wang Lepeng）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VRPTW、路网、路线评估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补发映射和路线输出契约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D（Shen Ziyi）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KG、问答、API、前端、演示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案例关联、证据展示和视频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上表为主责划分，不表示严格隔离。实际交付中存在交叉协助：规则阈值与标注口径经 A/B 互审，调度契约与前端接线由 C/D 共同修改，因此仓库提交记录中同一模块可由多人改动。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10.2 修订后的周计划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以 2026-09-12 已完成工作为起点，保留原提交日期。约 40 人日总投入优先用于主链、验证和交付，可选算法不作硬性要求。下表为修订后的提案计划，原每日计划的历史任务不表示这些事项尚未开始。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周次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重点任务与负责人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验收交付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W0 9/3–13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全员整合规则、数据、标注、路线和 KG 成果，修订提案，补成员信息，同步材料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提案终审与提交（截止 9/13）；组名、成员姓名及学号已补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W1 9/14–20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A：规则证据/gold 评估；B：任务 spec/多折风险；C：补发映射；D：QA API/证据检查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评估表、任务说明、可评审接口与查询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W2 9/21–27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A/C/D：订单、路线、案例契约及接线；B：原因与划分对照；D：前端真实问答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单仓补发求解、真实 QA、失败状态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W3 9/28–10/4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全员联调；A/D 明确结案与人工复核记录边界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最小闭环 v1，需补发/不需补发/失败案例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W4 10/5–11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A：报告/审计模板；B：实验/失败分析；C：Solomon 与新加坡对比；D：QA 评估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正式实验表、相关证据检查、报告初稿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W5 10/12–18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全员集成测试与干净环境复现；D 主导视频；A 汇总报告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报告修订稿、手册、视频素材与预演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W6 10/19–25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全员终审、视频、打包、个人反思及提交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10/25 前完成最终交付</w:t>
            </w:r>
          </w:p>
        </w:tc>
      </w:tr>
    </w:tbl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720465"/>
            <wp:effectExtent l="0" t="0" r="0" b="0"/>
            <wp:docPr id="9" name="图 7 周计划" descr="图 7 周计划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图 7 周计划"/>
                    <pic:cNvPicPr>
                      <a:picLocks noChangeAspect="1" noChangeArrowheads="1"/>
                    </pic:cNvPicPr>
                  </pic:nvPicPr>
                  <pic:blipFill>
                    <a:blip r:embed="rIdImg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7：</w:t>
      </w:r>
      <w:r>
        <w:rPr>
          <w:rFonts w:ascii="Aptos" w:hAnsi="Aptos" w:eastAsia="Microsoft YaHei"/>
          <w:sz w:val="21"/>
          <w:szCs w:val="21"/>
          <w:color w:val="000000"/>
        </w:rPr>
        <w:t>保留提交节点，后续重心转向集成与评估。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11. 风险与缓解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风险</w:t>
            </w:r>
          </w:p>
        </w:tc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缓解与披露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工程阈值误作稳定性界限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标注证据层级、产品适用性与假设，保留人工复核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标注一致性不足及政策未决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报告 κ、混淆矩阵、小样本限制，以领域依据驱动修订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合成数据与不同粒度导致外推失真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分数据集定义任务，检查时点与分组泄漏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原因 Top-1 较弱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保留多数类基线，分析候选排序及特征可用性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模块独立但业务未接通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A/C/D 优先固定订单、目的地、数量、时窗与案例关联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问答引用无关或缺失证据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逐案例验证相关性，区分无记录、证据不足与故障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日志或 KG 保存失败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验收失败提示、重复触发和关联完整性，不宣称审计级持久性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优化无解或指标不可比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报告未服务/违规，对齐约束、目标、单位和预算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范围与环境影响交付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扩展后置，记录实际依赖与复现步骤，保留离线演示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数据使用和来源追踪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保留许可、署名与指纹，原始个人标注不入库</w:t>
            </w:r>
          </w:p>
        </w:tc>
      </w:tr>
    </w:tbl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12. 最终交付物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GitHub 仓库：规则、数据处理、模型实验、优化、KG/API 和前端。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正式报告、用户手册、个人反思及按课程要求组织的提交压缩包。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两个 5 分钟视频，展示业务流程和技术/评估，明确模拟与未完成部分。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复现实验说明、规则假设与来源清单、标注结论、路线指标和问答评估集。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当前 Markdown 为本轮更新的中英文提案源稿，中文 Word 已按本版重新生成。正式提交前须核对 PPT 与本版一致性，并补提交记录；内容修订本身不表示 W0 已提交。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13. 结论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PharmaColdOps 已具备规则决策核心、独立人工标注、离线实验和真实新加坡道路上的配送求解。结果同时揭示规则理解分歧、原因分类能力有限、数据真实性与产品阈值证据不足等限制，将指导后续验证。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剩余重点是接通补发需求、配送结果与案例证据，在 2026-10-25 前交付可解释、可复现、披露适用边界的最小闭环。项目以集成和评估展示 IRS 四类技术，不以未经验证的临床、运营或合规收益作为完成标准。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14. 参考文献与项目依据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WHO. TRS 961 Annex 9 (https://www.who.int/publications/m/item/trs961-annex9-modelguidanceforstoragetransport).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European Commission. GDP 2013/C 343/01 (https://eur-lex.europa.eu/legal-content/EN/TXT/?uri=CELEX%3A32013C0343).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ICH. Quality Guidelines (https://www.ich.org/page/quality-guidelines).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CDC. Vaccine Storage and Handling (https://www.cdc.gov/pinkbook/hcp/table-of-contents/chapter-5-vaccine-storage-and-handling.html).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Controlant. Applications and Product Stability Automation (https://www.controlant.com/applications)（2026-09-12 核查，厂商自述）。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Solomon, M. M. (1987). Algorithms for the Vehicle Routing and Scheduling Problems with Time Window Constraints (https://doi.org/10.1287/opre.35.2.254). Operations Research, 35(2), 254–265.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Chen, T., &amp; Guestrin, C. (2016). XGBoost: A Scalable Tree Boosting System (https://arxiv.org/abs/1603.02754). ACM SIGKDD.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Ke, G., et al. (2017). LightGBM: A Highly Efficient Gradient Boosting Decision Tree (https://papers.nips.cc/paper/6907-lightgbm-a-highly-efficient-gradient-boosting-decision-tree). NeurIPS.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Lundberg, S. M., &amp; Lee, S.-I. (2017). A Unified Approach to Interpreting Model Predictions (https://arxiv.org/abs/1705.07874). NeurIPS.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Google. OR-Tools Routing Options (https://developers.google.com/optimization/routing/routing_options).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OpenStreetMap contributors. Copyright and ODbL (https://www.openstreetmap.org/copyright).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数据集链接见 §7.1；项目证据见 DATA_DICTIONARY (../data/ml/DATA_DICTIONARY.md)、PROGRESS (../PROGRESS.md)、网络假设 (../docs/singapore_network_assumptions.md)、标注统计 (../data/processed/agreement_stats.md)、PROVENANCE (../data/processed/PROVENANCE.md)。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NUS-ISS. IRS 提案与终期展示指南 v016 (IRS%20practice%20module%20project%20proposal%20%26%20final%20presentation%20guidelines%20v016.pdf)（课程提供材料）。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15. 补充说明 AI 的使用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本提案使用生成式 AI 辅助起草、翻译、编排和核对，早期稿使用 Claude，本次修订使用 Codex。AI 也协助场景草案与开发；人工 gold 来自 B/C 独立标注和 A 仲裁。AI 输出不是稳定性或合规结论的依据。团队负责核对引用、规则假设、实验复现和提交材料；尚未完成的产品级或外部验证已在正文说明。</w:t>
      </w:r>
    </w:p>
    <w:sectPr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Img1" Type="http://schemas.openxmlformats.org/officeDocument/2006/relationships/image" Target="media/image1.svg"/><Relationship Id="rIdImg2" Type="http://schemas.openxmlformats.org/officeDocument/2006/relationships/image" Target="media/image2.svg"/><Relationship Id="rIdImg3" Type="http://schemas.openxmlformats.org/officeDocument/2006/relationships/image" Target="media/image3.svg"/><Relationship Id="rIdImg4" Type="http://schemas.openxmlformats.org/officeDocument/2006/relationships/image" Target="media/image4.sv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svg"/><Relationship Id="rIdImg8" Type="http://schemas.openxmlformats.org/officeDocument/2006/relationships/image" Target="media/image8.svg"/><Relationship Id="rIdImg9" Type="http://schemas.openxmlformats.org/officeDocument/2006/relationships/image" Target="media/image9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PharmaColdOps 项目提案</dc:title>
  <dc:subject>冷链药品温度偏移处置与配送改派决策支持原型</dc:subject>
  <dc:creator>PharmaColdOps Team</dc:creator>
  <cp:lastModifiedBy>Codex</cp:lastModifiedBy>
  <dcterms:created xsi:type="dcterms:W3CDTF">2026-09-13T06:38:57Z</dcterms:created>
  <dcterms:modified xsi:type="dcterms:W3CDTF">2026-09-13T06:38:57Z</dcterms:modified>
</cp:coreProperties>
</file>