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B17" w:rsidRDefault="00A84B17" w:rsidP="00A84B17">
      <w:pPr>
        <w:jc w:val="center"/>
        <w:rPr>
          <w:b/>
        </w:rPr>
      </w:pPr>
      <w:r w:rsidRPr="00A84B17">
        <w:rPr>
          <w:b/>
        </w:rPr>
        <w:t>PROJECT PROPOSAL</w:t>
      </w:r>
    </w:p>
    <w:p w:rsidR="00E252AB" w:rsidRPr="00A84B17" w:rsidRDefault="00E252AB" w:rsidP="00E252A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C60290" w:rsidTr="006B18F1">
        <w:tc>
          <w:tcPr>
            <w:tcW w:w="9017" w:type="dxa"/>
          </w:tcPr>
          <w:p w:rsidR="00C60290" w:rsidRPr="00AF78D3" w:rsidRDefault="00C60290" w:rsidP="00936C52">
            <w:pPr>
              <w:rPr>
                <w:rFonts w:ascii="Arial Narrow" w:hAnsi="Arial Narrow"/>
                <w:b/>
              </w:rPr>
            </w:pPr>
            <w:r w:rsidRPr="00AF78D3">
              <w:rPr>
                <w:rFonts w:ascii="Arial Narrow" w:hAnsi="Arial Narrow"/>
                <w:b/>
              </w:rPr>
              <w:t>Date of proposal:</w:t>
            </w:r>
          </w:p>
          <w:p>
            <w:r>
              <w:rPr>
                <w:b w:val="0"/>
              </w:rPr>
              <w:t>30 September 2026</w:t>
            </w:r>
          </w:p>
        </w:tc>
      </w:tr>
      <w:tr w:rsidR="00A84B17" w:rsidTr="006B18F1">
        <w:tc>
          <w:tcPr>
            <w:tcW w:w="9017" w:type="dxa"/>
          </w:tcPr>
          <w:p w:rsidR="00A84B17" w:rsidRDefault="00A84B17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 Title:</w:t>
            </w:r>
          </w:p>
          <w:p>
            <w:r>
              <w:rPr>
                <w:b w:val="0"/>
              </w:rPr>
              <w:t>WHO Six-Step Hand Hygiene: A Video-Based Pattern Recognition System for Action Recognition and Procedure Completeness Assessment</w:t>
            </w:r>
          </w:p>
        </w:tc>
      </w:tr>
      <w:tr w:rsidR="00A84B17" w:rsidTr="006B18F1">
        <w:tc>
          <w:tcPr>
            <w:tcW w:w="9017" w:type="dxa"/>
          </w:tcPr>
          <w:p w:rsidR="00A84B17" w:rsidRDefault="00791F13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Group ID (As Enrolled in </w:t>
            </w:r>
            <w:r w:rsidR="00605267">
              <w:rPr>
                <w:rFonts w:ascii="Arial Narrow" w:hAnsi="Arial Narrow"/>
                <w:b/>
              </w:rPr>
              <w:t>Canvas</w:t>
            </w:r>
            <w:r>
              <w:rPr>
                <w:rFonts w:ascii="Arial Narrow" w:hAnsi="Arial Narrow"/>
                <w:b/>
              </w:rPr>
              <w:t xml:space="preserve"> Class Groups):</w:t>
            </w:r>
          </w:p>
          <w:p>
            <w:r>
              <w:rPr>
                <w:b w:val="0"/>
              </w:rPr>
              <w:t>43</w:t>
            </w:r>
          </w:p>
          <w:p/>
          <w:p>
            <w:r>
              <w:rPr>
                <w:b/>
              </w:rPr>
              <w:t xml:space="preserve">Group Members (name, Student ID): </w:t>
            </w:r>
          </w:p>
          <w:p>
            <w:r>
              <w:rPr>
                <w:b w:val="0"/>
              </w:rPr>
              <w:t>[1] Shen Ziyi — A035****J (Data &amp; Evaluation)</w:t>
            </w:r>
          </w:p>
          <w:p>
            <w:r>
              <w:rPr>
                <w:b w:val="0"/>
              </w:rPr>
              <w:t>[2] Wang Lepeng — A035****L (Model &amp; Training)</w:t>
            </w:r>
          </w:p>
          <w:p>
            <w:r>
              <w:rPr>
                <w:b w:val="0"/>
              </w:rPr>
              <w:t>[3] Zhu Jianyu — A035****L (Temporal &amp; Assessment)</w:t>
            </w:r>
          </w:p>
          <w:p>
            <w:r>
              <w:rPr>
                <w:b w:val="0"/>
              </w:rPr>
              <w:t>[4] Xu Wenzhe — A032****W (Product, Demo &amp; Delivery)</w:t>
            </w:r>
          </w:p>
        </w:tc>
      </w:tr>
      <w:tr w:rsidR="00A84B17" w:rsidTr="006B18F1">
        <w:tc>
          <w:tcPr>
            <w:tcW w:w="9017" w:type="dxa"/>
          </w:tcPr>
          <w:p w:rsidR="00A84B17" w:rsidRDefault="00A84B17" w:rsidP="00936C52">
            <w:pPr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b/>
              </w:rPr>
              <w:t>Sponsor/Client:</w:t>
            </w:r>
            <w:r>
              <w:rPr>
                <w:rFonts w:ascii="Arial Narrow" w:hAnsi="Arial Narrow"/>
                <w:i/>
              </w:rPr>
              <w:t xml:space="preserve"> (</w:t>
            </w:r>
            <w:r w:rsidR="004D2399">
              <w:rPr>
                <w:rFonts w:ascii="Arial Narrow" w:hAnsi="Arial Narrow"/>
                <w:i/>
              </w:rPr>
              <w:t xml:space="preserve">Company </w:t>
            </w:r>
            <w:r>
              <w:rPr>
                <w:rFonts w:ascii="Arial Narrow" w:hAnsi="Arial Narrow"/>
                <w:i/>
              </w:rPr>
              <w:t>Name, Address</w:t>
            </w:r>
            <w:r w:rsidR="00824F91">
              <w:rPr>
                <w:rFonts w:ascii="Arial Narrow" w:hAnsi="Arial Narrow"/>
                <w:i/>
              </w:rPr>
              <w:t xml:space="preserve"> </w:t>
            </w:r>
            <w:r>
              <w:rPr>
                <w:rFonts w:ascii="Arial Narrow" w:hAnsi="Arial Narrow"/>
                <w:i/>
              </w:rPr>
              <w:t>and Contact Name</w:t>
            </w:r>
            <w:r w:rsidR="004D2399">
              <w:rPr>
                <w:rFonts w:ascii="Arial Narrow" w:hAnsi="Arial Narrow"/>
                <w:i/>
              </w:rPr>
              <w:t xml:space="preserve">, </w:t>
            </w:r>
            <w:r w:rsidR="00824F91">
              <w:rPr>
                <w:rFonts w:ascii="Arial Narrow" w:hAnsi="Arial Narrow"/>
                <w:i/>
              </w:rPr>
              <w:t xml:space="preserve">Email, </w:t>
            </w:r>
            <w:r w:rsidR="004D2399">
              <w:rPr>
                <w:rFonts w:ascii="Arial Narrow" w:hAnsi="Arial Narrow"/>
                <w:i/>
              </w:rPr>
              <w:t>if any</w:t>
            </w:r>
            <w:r>
              <w:rPr>
                <w:rFonts w:ascii="Arial Narrow" w:hAnsi="Arial Narrow"/>
                <w:i/>
              </w:rPr>
              <w:t>)</w:t>
            </w:r>
          </w:p>
          <w:p>
            <w:r>
              <w:rPr>
                <w:b w:val="0"/>
              </w:rPr>
              <w:t>Not applicable — self-initiated project.</w:t>
            </w:r>
          </w:p>
        </w:tc>
      </w:tr>
      <w:tr w:rsidR="00A84B17" w:rsidTr="006B18F1">
        <w:tc>
          <w:tcPr>
            <w:tcW w:w="9017" w:type="dxa"/>
          </w:tcPr>
          <w:p w:rsidR="00A84B17" w:rsidRDefault="00DD039D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Background/</w:t>
            </w:r>
            <w:r w:rsidR="00A84B17">
              <w:rPr>
                <w:rFonts w:ascii="Arial Narrow" w:hAnsi="Arial Narrow"/>
                <w:b/>
              </w:rPr>
              <w:t>Aims/Objectives:</w:t>
            </w:r>
          </w:p>
          <w:p>
            <w:r>
              <w:rPr>
                <w:b/>
              </w:rPr>
              <w:t>Background</w:t>
            </w:r>
          </w:p>
          <w:p>
            <w:r>
              <w:rPr>
                <w:b w:val="0"/>
              </w:rPr>
              <w:t>Hand hygiene is the single most effective measure for preventing healthcare-associated infection, yet compliance is persistently poor and notoriously hard to measure. The World Health Organization (WHO) defines a standard six-step hand-washing procedure with a recommended total duration of 40-60 seconds, but assessing whether a person actually performed all six steps, in the correct order, for a sufficient time cannot be done reliably by human observation at scale: it requires continuous attention, and observers are known to over-report compliance. Meanwhile, video capture is cheap and ubiquitous - a smartphone is sufficient. This project treats video as a visual sensor stream and builds a pattern recognition system that converts it into an objective compliance assessment.</w:t>
            </w:r>
          </w:p>
          <w:p>
            <w:r>
              <w:rPr>
                <w:b/>
              </w:rPr>
              <w:t>Aim</w:t>
            </w:r>
          </w:p>
          <w:p>
            <w:r>
              <w:rPr>
                <w:b w:val="0"/>
              </w:rPr>
              <w:t>To design, build and evaluate a runnable pattern recognition system that, given a video of a person washing their hands, (i) classifies the hand-washing action performed in each frame into one of the WHO six steps, and (ii) converts that frame-level sequence into a verifiable verdict on procedure completeness - detecting missed steps, out-of-order steps, and steps performed for insufficient time.</w:t>
            </w:r>
          </w:p>
          <w:p>
            <w:r>
              <w:rPr>
                <w:b/>
              </w:rPr>
              <w:t>Objectives (measurable)</w:t>
            </w:r>
          </w:p>
          <w:tbl>
            <w:tblPr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000"/>
              <w:gridCol w:w="3000"/>
              <w:gridCol w:w="3000"/>
            </w:tblGrid>
            <w:tr>
              <w:tc>
                <w:tcPr>
                  <w:tcW w:type="dxa" w:w="3000"/>
                </w:tcPr>
                <w:p>
                  <w:r>
                    <w:rPr>
                      <w:b/>
                    </w:rPr>
                    <w:t>#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/>
                    </w:rPr>
                    <w:t>Objective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/>
                    </w:rPr>
                    <w:t>Success criterion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O1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Frame-level six-class action recognition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Macro-F1 &gt;= 0.80 on a held-out, video-disjoint test split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O2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Temporal integration to suppress single-frame misjudgements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&gt;= 25% reduction in label transitions, without a Macro-F1 drop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O3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Cross-scenario generalisation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Quantify and report the Macro-F1 drop transferring from hospital to laboratory data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O4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Completeness assessment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&gt;= 80% agreement with human ground truth on complete/incomplete and in-order/out-of-order</w:t>
                  </w:r>
                </w:p>
              </w:tc>
            </w:tr>
            <w:tr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O5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Runnable system</w:t>
                  </w:r>
                </w:p>
              </w:tc>
              <w:tc>
                <w:tcPr>
                  <w:tcW w:type="dxa" w:w="3000"/>
                </w:tcPr>
                <w:p>
                  <w:r>
                    <w:rPr>
                      <w:b w:val="0"/>
                    </w:rPr>
                    <w:t>One-command installation and demo, verified on a machine that has never seen the repository</w:t>
                  </w:r>
                </w:p>
              </w:tc>
            </w:tr>
          </w:tbl>
          <w:p>
            <w:r>
              <w:rPr>
                <w:b/>
              </w:rPr>
              <w:t>Scope boundaries</w:t>
            </w:r>
          </w:p>
          <w:p>
            <w:r>
              <w:rPr>
                <w:b w:val="0"/>
              </w:rPr>
              <w:t>The system performs procedural compliance analysis only. It does not diagnose disease, does not evaluate microbiological effectiveness, and does not replace an infection-control professional. It evaluates technique, not clinical outcome.</w:t>
            </w:r>
          </w:p>
        </w:tc>
      </w:tr>
      <w:tr w:rsidR="00A84B17" w:rsidTr="006B18F1">
        <w:tc>
          <w:tcPr>
            <w:tcW w:w="9017" w:type="dxa"/>
          </w:tcPr>
          <w:p w:rsidR="00A84B17" w:rsidRDefault="00A86B5A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</w:t>
            </w:r>
            <w:r w:rsidR="00A84B17">
              <w:rPr>
                <w:rFonts w:ascii="Arial Narrow" w:hAnsi="Arial Narrow"/>
                <w:b/>
              </w:rPr>
              <w:t xml:space="preserve"> </w:t>
            </w:r>
            <w:r w:rsidR="006B18F1">
              <w:rPr>
                <w:rFonts w:ascii="Arial Narrow" w:hAnsi="Arial Narrow"/>
                <w:b/>
              </w:rPr>
              <w:t>Description</w:t>
            </w:r>
            <w:r w:rsidR="00103DBF">
              <w:rPr>
                <w:rFonts w:ascii="Arial Narrow" w:hAnsi="Arial Narrow"/>
                <w:b/>
              </w:rPr>
              <w:t>s</w:t>
            </w:r>
            <w:r w:rsidR="00A84B17">
              <w:rPr>
                <w:rFonts w:ascii="Arial Narrow" w:hAnsi="Arial Narrow"/>
                <w:b/>
              </w:rPr>
              <w:t>:</w:t>
            </w:r>
          </w:p>
          <w:p>
            <w:r>
              <w:rPr>
                <w:b/>
              </w:rPr>
              <w:t>1. Problem statement</w:t>
            </w:r>
          </w:p>
          <w:p>
            <w:r>
              <w:rPr>
                <w:b w:val="0"/>
              </w:rPr>
              <w:t>A camera observes a hand-washing sink. The task is to output, for every frame, which WHO step is being performed, and then to output a structured verdict on the whole procedure. Three difficulties make this a genuine pattern recognition problem rather than a simple classification exercise.</w:t>
            </w:r>
          </w:p>
          <w:p>
            <w:r>
              <w:rPr>
                <w:b w:val="0"/>
              </w:rPr>
              <w:t>(1) Inter-class visual similarity. Steps 2 and 4 both involve the back of the hand; steps 5 and 6 are small rotational motions of thumb and fingertips. These differ by a few centimetres of hand configuration at typical camera distances.</w:t>
            </w:r>
          </w:p>
          <w:p>
            <w:r>
              <w:rPr>
                <w:b w:val="0"/>
              </w:rPr>
              <w:t>(2) Intra-class variability. The same step looks different across people, camera angles, lighting and backgrounds. Performance degrades when the deployment environment differs from the training environment - the classical domain-shift problem.</w:t>
            </w:r>
          </w:p>
          <w:p>
            <w:r>
              <w:rPr>
                <w:b w:val="0"/>
              </w:rPr>
              <w:t>(3) Temporal structure is part of the answer. A single misclassified frame is not an error in the procedure; only persistent, time-ordered behaviour is. This makes per-frame accuracy an insufficient metric and motivates the temporal layer.</w:t>
            </w:r>
          </w:p>
          <w:p>
            <w:r>
              <w:rPr>
                <w:b/>
              </w:rPr>
              <w:t>2. The four required aspects (we implement all four, three are guaranteed)</w:t>
            </w:r>
          </w:p>
          <w:p>
            <w:r>
              <w:rPr>
                <w:b w:val="0"/>
              </w:rPr>
              <w:t>The brief requires at least three of four aspects to be developed, integrated and demonstrated. This project addresses all four, stated explicitly so that the contribution is unambiguous.</w:t>
            </w:r>
          </w:p>
          <w:tbl>
            <w:tblPr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Aspect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How it is realised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A1 Supervised / unsupervised learning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Supervised multi-class classification with per-frame ground-truth labels. The learning protocol uses a strictly video-disjoint train/validation/test split (no frames from one source video may appear in two splits) - treated as a correctness requirement, not a detail.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A2 Machine learning / deep learning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Deep learning with transfer learning. Primary model: a YOLO classification network fine-tuned from pretrained weights. Baselines: MobileNetV2 and a second YOLO classification variant, so every claimed gain is measured against a like-for-like reference.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A3 Hybrid machine learning / ensemble approach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Hybrid two-stage architecture with ensemble fusion. A frame-level classifier produces per-frame class posteriors; a temporal model (GRU and TCN both implemented and compared) consumes the frame embeddings and re-predicts with context. The two are fused at the probability level (weighted combination) and at the decision level (majority vote, sliding-window smoothing). A mean-pooling head is included as the no-temporal-modelling control, isolating the ensemble's contribution.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A4 Intelligent sensing / sense making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Sense making over a video sensor stream. The system does not stop at labels: it segments the label stream into action segments, reconstructs the performed action sequence, and applies explicit domain rules derived from the WHO guideline to produce a human-readable compliance report (per-step duration, proportion of total washing time, missed steps, order inversions, insufficient-duration steps, overall score).</w:t>
                  </w:r>
                </w:p>
              </w:tc>
            </w:tr>
          </w:tbl>
          <w:p>
            <w:r>
              <w:rPr>
                <w:b/>
              </w:rPr>
              <w:t>3. System architecture</w:t>
            </w:r>
          </w:p>
          <w:p>
            <w:r>
              <w:rPr>
                <w:b w:val="0"/>
              </w:rPr>
              <w:t>A five-layer design; each layer has one responsibility and dependencies point only downwards. The structure is fixed in the repository as a single source of truth (the configuration contract plus the directory convention): the contract layer, the data and IO layer and the orchestration layer are already implemented and version-controlled, and the model layer is implemented against the same contract in weeks 2-3.</w:t>
            </w:r>
          </w:p>
          <w:p>
            <w:r>
              <w:rPr>
                <w:b w:val="0"/>
              </w:rPr>
              <w:t>L0 Infrastructure - path constants, logging, exception hierarchy. L1 Contract layer - the label space (single authoritative definition of the six WHO steps), data contracts, configuration schema, metrics, and the completeness decision rules. L2 Data and IO - video decoding, frame extraction, manifest with integrity invariants, video-disjoint splitting. L3 Models - frame classifiers (YOLO, MobileNetV2), temporal heads (GRU, TCN, mean-pool), checkpoint management. L4 Orchestration - the five pipelines (prepare, train, evaluate, infer, assess) and the command-line interface.</w:t>
            </w:r>
          </w:p>
          <w:p>
            <w:r>
              <w:rPr>
                <w:b w:val="0"/>
              </w:rPr>
              <w:t>Two design decisions matter for the credibility of the evaluation. First, a single authoritative label space: original label names differ across datasets (Step 5, step_5, Step5_water), and they are mapped to canonical names in exactly one place, so training and evaluation labels cannot silently diverge - a failure mode that produces plausible but meaningless metrics. Second, video-disjoint splitting is enforced by code: splitting by frame would place near-identical neighbouring frames in both training and test sets and inflate accuracy, so three independent guards fail the run if a source video crosses splits.</w:t>
            </w:r>
          </w:p>
          <w:p>
            <w:r>
              <w:rPr>
                <w:b/>
              </w:rPr>
              <w:t>4. Data</w:t>
            </w:r>
          </w:p>
          <w:p>
            <w:r>
              <w:rPr>
                <w:b w:val="0"/>
              </w:rPr>
              <w:t>PSKUS (hospital environment, per-frame annotations) provides the primary training and in-domain test data; a 300-500 clip subset is used first to validate the pipeline before scaling up. METC (laboratory environment, 72 participants, frame-level labels) is used for cross-scenario testing only and never for training - that is what makes the transfer measurement meaningful. The Kaggle hand-wash dataset provides a small, fast corpus for rapid prototyping. Finally, 4-6 self-recorded clips per team member provide completeness validation: the set is scripted to include one correct procedure, one with a step omitted, one with two steps swapped, and one with a step performed too briefly, each with a human-annotated ground-truth sequence. The self-recorded set is deliberate - it is the only data that tests the system under the conditions it claims to work in.</w:t>
            </w:r>
          </w:p>
          <w:p>
            <w:r>
              <w:rPr>
                <w:b/>
              </w:rPr>
              <w:t>5. Method</w:t>
            </w:r>
          </w:p>
          <w:p>
            <w:r>
              <w:rPr>
                <w:b w:val="0"/>
              </w:rPr>
              <w:t>Frame extraction: video is sampled to a fixed frame rate and frames are stored with a manifest recording clip identity, frame index, timestamp and label.</w:t>
            </w:r>
          </w:p>
          <w:p>
            <w:r>
              <w:rPr>
                <w:b w:val="0"/>
              </w:rPr>
              <w:t>Supervised frame classification: a pretrained classification network is fine-tuned on the frame set. Class imbalance is handled with balanced class weighting, and model selection uses Macro-F1 on a held-out validation split rather than accuracy, which hides degradation on small classes.</w:t>
            </w:r>
          </w:p>
          <w:p>
            <w:r>
              <w:rPr>
                <w:b w:val="0"/>
              </w:rPr>
              <w:t>Temporal modelling: frame embeddings are fed to a sequence model that predicts per frame with temporal context. Both a recurrent head (GRU) and a dilated causal convolutional head (TCN) are implemented; a mean-pooling head serves as the control containing no temporal modelling.</w:t>
            </w:r>
          </w:p>
          <w:p>
            <w:r>
              <w:rPr>
                <w:b w:val="0"/>
              </w:rPr>
              <w:t>Fusion: frame-level and temporal posteriors are combined by probability smoothing, weighted fusion and majority voting - the ensemble aspect of A3.</w:t>
            </w:r>
          </w:p>
          <w:p>
            <w:r>
              <w:rPr>
                <w:b w:val="0"/>
              </w:rPr>
              <w:t>Sense making: the fused label stream is smoothed, segmented into contiguous action segments subject to a minimum-duration criterion, and evaluated against WHO-derived rules - coverage of the six steps, order inversions in the reconstructed sequence, per-step duration relative to a fair share of the total washing time, and total washing duration against the 40-60 second guideline. The output is a structured report plus a rendered, human-readable summary.</w:t>
            </w:r>
          </w:p>
          <w:p>
            <w:r>
              <w:rPr>
                <w:b/>
              </w:rPr>
              <w:t>6. Evaluation and metrics</w:t>
            </w:r>
          </w:p>
          <w:p>
            <w:r>
              <w:rPr>
                <w:b w:val="0"/>
              </w:rPr>
              <w:t>We report accuracy for comparability with published work but never in isolation. Macro-F1 is the primary model-selection metric because it is insensitive to class imbalance. Per-class precision and recall, together with the confusion matrix, localise which steps are confused - the expected confusions are steps 2 with 4 and steps 5 with 6. A label-transition count directly measures the reduction in single-frame misjudgements, which accuracy cannot express. In-domain and cross-scenario Macro-F1 quantify domain shift. Agreement with human ground truth on completeness and ordering tests the system-level claim. Inference time per clip demonstrates practical viability, and bootstrap confidence intervals ensure that a claimed improvement is not sampling noise.</w:t>
            </w:r>
          </w:p>
          <w:p>
            <w:r>
              <w:rPr>
                <w:b w:val="0"/>
              </w:rPr>
              <w:t>For the ablation, data, split, seed and backbone are held fixed while only the temporal component changes: (A) frame-only, (B) frame plus probability smoothing, (C) mean-pool head, (D) GRU or TCN head. This isolates the contribution of A3 rather than asserting it.</w:t>
            </w:r>
          </w:p>
          <w:p>
            <w:r>
              <w:rPr>
                <w:b/>
              </w:rPr>
              <w:t>7. Work plan (four weeks, four members)</w:t>
            </w:r>
          </w:p>
          <w:p>
            <w:r>
              <w:rPr>
                <w:b w:val="0"/>
              </w:rPr>
              <w:t>Week 1: proposal, data pipeline, first baseline, environment verified on all four machines (proposal due 30 Sep). Week 2: first presentation on 6 Oct, primary model trained on hospital data, cross-scenario evaluation wired. Week 3: temporal ablation, completeness evaluation, error analysis, self-recorded validation set. Week 4: feature freeze, packaging of the runnable system, report, video presentation. A buffer period from 20 to 31 October is reserved for the clean-machine rehearsal, final polish, peer review, submission (due 31 Oct) and the written examination.</w:t>
            </w:r>
          </w:p>
          <w:p>
            <w:r>
              <w:rPr>
                <w:b w:val="0"/>
              </w:rPr>
              <w:t>Workstreams, each with a single owner: data and evaluation; model and training; temporal and assessment; product, demo and delivery. The full plan, including weekly acceptance criteria and a requirement-to-artefact traceability matrix, is maintained in docs/PROJECT_PLAN_4_WEEK.md.</w:t>
            </w:r>
          </w:p>
          <w:p>
            <w:r>
              <w:rPr>
                <w:b/>
              </w:rPr>
              <w:t>8. Tools and technologies</w:t>
            </w:r>
          </w:p>
          <w:p>
            <w:r>
              <w:rPr>
                <w:b w:val="0"/>
              </w:rPr>
              <w:t>Python 3.12, PyTorch, Ultralytics (YOLO classification), torchvision (MobileNetV2), NumPy / pandas / scikit-learn (metrics), OpenCV and imageio (video decoding), Pillow (preprocessing), Matplotlib (figures), YAML-driven configuration with strict validation, pytest (contract-level unit tests), Git with pull-request review and continuous integration, and conda for reproducible environments.</w:t>
            </w:r>
          </w:p>
          <w:p>
            <w:r>
              <w:rPr>
                <w:b/>
              </w:rPr>
              <w:t>9. Expected deliverables</w:t>
            </w:r>
          </w:p>
          <w:p>
            <w:r>
              <w:rPr>
                <w:b w:val="0"/>
              </w:rPr>
              <w:t>• A runnable pattern recognition system with one-command setup and demo.</w:t>
            </w:r>
          </w:p>
          <w:p>
            <w:r>
              <w:rPr>
                <w:b w:val="0"/>
              </w:rPr>
              <w:t>• The datasets used, with documented provenance, layout and preparation steps.</w:t>
            </w:r>
          </w:p>
          <w:p>
            <w:r>
              <w:rPr>
                <w:b w:val="0"/>
              </w:rPr>
              <w:t>• A final report covering tools and techniques, system design and models, system performance, and findings and discussions - including honest failure analysis.</w:t>
            </w:r>
          </w:p>
          <w:p>
            <w:r>
              <w:rPr>
                <w:b w:val="0"/>
              </w:rPr>
              <w:t>• Source code, configuration files and trained model weights.</w:t>
            </w:r>
          </w:p>
          <w:p>
            <w:r>
              <w:rPr>
                <w:b w:val="0"/>
              </w:rPr>
              <w:t>• A 10-15 minute recorded video presentation.</w:t>
            </w:r>
          </w:p>
          <w:p>
            <w:r>
              <w:rPr>
                <w:b w:val="0"/>
              </w:rPr>
              <w:t>• Slides for both the first and the final presentation.</w:t>
            </w:r>
          </w:p>
          <w:p>
            <w:r>
              <w:rPr>
                <w:b w:val="0"/>
              </w:rPr>
              <w:t>• A 1-2 page individual report per member (personal contribution; what was learnt that is most useful; how it applies elsewhere).</w:t>
            </w:r>
          </w:p>
          <w:p>
            <w:r>
              <w:rPr>
                <w:b w:val="0"/>
              </w:rPr>
              <w:t>• Peer review submitted through the peer review system.</w:t>
            </w:r>
          </w:p>
          <w:p>
            <w:r>
              <w:rPr>
                <w:b/>
              </w:rPr>
              <w:t>10. Risks and mitigations</w:t>
            </w:r>
          </w:p>
          <w:tbl>
            <w:tblPr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Risk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/>
                    </w:rPr>
                    <w:t>Mitigation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Large hospital dataset (about 18 GB) delays progress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Start the download in week 1 while prototyping on a small dataset; treat small-data results as a legitimate first milestone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Pretrained weights for the newest model may be unavailable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The model layer supports any classification weight; switching is a configuration change, and the actual weights used are reported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Data leakage inflating results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Video-disjoint splitting enforced by three independent guards; the split design is reported explicitly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Domain shift degrading real-world performance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Measured and reported as a finding rather than hidden; deployment conditions are characterised</w:t>
                  </w:r>
                </w:p>
              </w:tc>
            </w:tr>
            <w:tr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Reproducibility across four machines</w:t>
                  </w:r>
                </w:p>
              </w:tc>
              <w:tc>
                <w:tcPr>
                  <w:tcW w:type="dxa" w:w="4500"/>
                </w:tcPr>
                <w:p>
                  <w:r>
                    <w:rPr>
                      <w:b w:val="0"/>
                    </w:rPr>
                    <w:t>Fixed seeds, hashed configuration recorded per experiment, locked environment file, clean-machine rehearsal before submission</w:t>
                  </w:r>
                </w:p>
              </w:tc>
            </w:tr>
          </w:tbl>
        </w:tc>
      </w:tr>
    </w:tbl>
    <w:p w:rsidR="00A84B17" w:rsidRDefault="00A84B17" w:rsidP="00085366"/>
    <w:sectPr w:rsidR="00A84B17" w:rsidSect="00043A4F">
      <w:headerReference w:type="default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2A32" w:rsidRDefault="00502A32" w:rsidP="00331E1D">
      <w:r>
        <w:separator/>
      </w:r>
    </w:p>
  </w:endnote>
  <w:endnote w:type="continuationSeparator" w:id="0">
    <w:p w:rsidR="00502A32" w:rsidRDefault="00502A32" w:rsidP="00331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334" w:rsidRDefault="00B85334">
    <w:pPr>
      <w:pStyle w:val="Footer"/>
    </w:pPr>
    <w:r>
      <w:tab/>
    </w:r>
    <w:r>
      <w:tab/>
    </w:r>
    <w:r w:rsidRPr="00B85334">
      <w:drawing>
        <wp:inline distT="0" distB="0" distL="0" distR="0" wp14:anchorId="13F86AAD" wp14:editId="3C21338F">
          <wp:extent cx="1593210" cy="562610"/>
          <wp:effectExtent l="0" t="0" r="0" b="0"/>
          <wp:docPr id="16" name="Picture 15" descr="Text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DE03CB38-569F-4740-8B1D-877F676CAC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 descr="Text, logo&#10;&#10;Description automatically generated">
                    <a:extLst>
                      <a:ext uri="{FF2B5EF4-FFF2-40B4-BE49-F238E27FC236}">
                        <a16:creationId xmlns:a16="http://schemas.microsoft.com/office/drawing/2014/main" id="{DE03CB38-569F-4740-8B1D-877F676CAC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192" cy="566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2A32" w:rsidRDefault="00502A32" w:rsidP="00331E1D">
      <w:r>
        <w:separator/>
      </w:r>
    </w:p>
  </w:footnote>
  <w:footnote w:type="continuationSeparator" w:id="0">
    <w:p w:rsidR="00502A32" w:rsidRDefault="00502A32" w:rsidP="00331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1E1D" w:rsidRDefault="00331E1D" w:rsidP="00331E1D">
    <w:pPr>
      <w:pStyle w:val="Header"/>
      <w:tabs>
        <w:tab w:val="left" w:pos="6480"/>
      </w:tabs>
      <w:rPr>
        <w:rFonts w:ascii="Arial" w:hAnsi="Arial"/>
        <w:i/>
        <w:caps/>
        <w:sz w:val="16"/>
      </w:rPr>
    </w:pP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ab/>
    </w:r>
  </w:p>
  <w:p w:rsidR="00331E1D" w:rsidRDefault="00331E1D" w:rsidP="00331E1D">
    <w:pPr>
      <w:pStyle w:val="Header"/>
      <w:tabs>
        <w:tab w:val="clear" w:pos="9360"/>
      </w:tabs>
      <w:spacing w:before="60"/>
    </w:pPr>
    <w:r>
      <w:rPr>
        <w:rFonts w:ascii="Arial" w:hAnsi="Arial"/>
        <w:i/>
        <w:caps/>
        <w:sz w:val="16"/>
      </w:rPr>
      <w:tab/>
      <w:t xml:space="preserve">                            </w:t>
    </w:r>
    <w:r w:rsidR="000D3FDC">
      <w:rPr>
        <w:rFonts w:ascii="Arial" w:hAnsi="Arial"/>
        <w:i/>
        <w:caps/>
        <w:sz w:val="16"/>
      </w:rPr>
      <w:tab/>
    </w:r>
    <w:r w:rsidR="000D3FDC">
      <w:rPr>
        <w:rFonts w:ascii="Arial" w:hAnsi="Arial"/>
        <w:i/>
        <w:caps/>
        <w:sz w:val="16"/>
      </w:rPr>
      <w:tab/>
    </w:r>
    <w:r w:rsidR="000D3FDC"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>Filing Ref: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8D5339"/>
    <w:multiLevelType w:val="hybridMultilevel"/>
    <w:tmpl w:val="47F2705A"/>
    <w:lvl w:ilvl="0" w:tplc="0CEAE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B0"/>
    <w:rsid w:val="00043A4F"/>
    <w:rsid w:val="00085366"/>
    <w:rsid w:val="000A7072"/>
    <w:rsid w:val="000D3FDC"/>
    <w:rsid w:val="00103DBF"/>
    <w:rsid w:val="0012305B"/>
    <w:rsid w:val="001647E3"/>
    <w:rsid w:val="001B286E"/>
    <w:rsid w:val="001C199F"/>
    <w:rsid w:val="001D6CE4"/>
    <w:rsid w:val="00225CA2"/>
    <w:rsid w:val="002366C5"/>
    <w:rsid w:val="00292AA2"/>
    <w:rsid w:val="002D5017"/>
    <w:rsid w:val="00331E1D"/>
    <w:rsid w:val="00352B1C"/>
    <w:rsid w:val="0036086B"/>
    <w:rsid w:val="00370964"/>
    <w:rsid w:val="003961B0"/>
    <w:rsid w:val="003C4344"/>
    <w:rsid w:val="003D06DD"/>
    <w:rsid w:val="003D4BB9"/>
    <w:rsid w:val="00423411"/>
    <w:rsid w:val="00433189"/>
    <w:rsid w:val="00443651"/>
    <w:rsid w:val="0045247C"/>
    <w:rsid w:val="004615F5"/>
    <w:rsid w:val="0047673D"/>
    <w:rsid w:val="00482F77"/>
    <w:rsid w:val="00491E93"/>
    <w:rsid w:val="004D2399"/>
    <w:rsid w:val="004F2318"/>
    <w:rsid w:val="00502A32"/>
    <w:rsid w:val="00545061"/>
    <w:rsid w:val="00561D7F"/>
    <w:rsid w:val="005722D8"/>
    <w:rsid w:val="005A0BAE"/>
    <w:rsid w:val="005A4893"/>
    <w:rsid w:val="00605267"/>
    <w:rsid w:val="00627D37"/>
    <w:rsid w:val="006B18F1"/>
    <w:rsid w:val="006D387F"/>
    <w:rsid w:val="006D455D"/>
    <w:rsid w:val="00775353"/>
    <w:rsid w:val="00791F13"/>
    <w:rsid w:val="00824F91"/>
    <w:rsid w:val="00826E25"/>
    <w:rsid w:val="008B2D82"/>
    <w:rsid w:val="008D2D60"/>
    <w:rsid w:val="0090003F"/>
    <w:rsid w:val="00951FAD"/>
    <w:rsid w:val="00982293"/>
    <w:rsid w:val="0098461F"/>
    <w:rsid w:val="00A25A09"/>
    <w:rsid w:val="00A47C16"/>
    <w:rsid w:val="00A84B17"/>
    <w:rsid w:val="00A86B5A"/>
    <w:rsid w:val="00A95DC6"/>
    <w:rsid w:val="00AC4258"/>
    <w:rsid w:val="00AC4FF5"/>
    <w:rsid w:val="00AF78D3"/>
    <w:rsid w:val="00B028A3"/>
    <w:rsid w:val="00B21E90"/>
    <w:rsid w:val="00B51109"/>
    <w:rsid w:val="00B54804"/>
    <w:rsid w:val="00B55AA4"/>
    <w:rsid w:val="00B85334"/>
    <w:rsid w:val="00BC4642"/>
    <w:rsid w:val="00C320BB"/>
    <w:rsid w:val="00C60290"/>
    <w:rsid w:val="00D5566B"/>
    <w:rsid w:val="00DC4CF2"/>
    <w:rsid w:val="00DC722F"/>
    <w:rsid w:val="00DD039D"/>
    <w:rsid w:val="00DD4CB2"/>
    <w:rsid w:val="00DF465C"/>
    <w:rsid w:val="00E146AF"/>
    <w:rsid w:val="00E21A58"/>
    <w:rsid w:val="00E252AB"/>
    <w:rsid w:val="00E549CF"/>
    <w:rsid w:val="00EF2C0D"/>
    <w:rsid w:val="00F677F4"/>
    <w:rsid w:val="00F72F66"/>
    <w:rsid w:val="00F9673E"/>
    <w:rsid w:val="00FB3E24"/>
    <w:rsid w:val="00FD7CC3"/>
    <w:rsid w:val="00FE7373"/>
    <w:rsid w:val="00F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BCE2C"/>
  <w15:docId w15:val="{44EC8ACF-0B0E-4D81-A9C9-73251720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961B0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F23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84B17"/>
    <w:pPr>
      <w:ind w:left="720"/>
      <w:contextualSpacing/>
    </w:pPr>
  </w:style>
  <w:style w:type="paragraph" w:styleId="Header">
    <w:name w:val="header"/>
    <w:basedOn w:val="Normal"/>
    <w:link w:val="HeaderChar"/>
    <w:rsid w:val="00331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31E1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331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31E1D"/>
    <w:rPr>
      <w:rFonts w:eastAsia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A0065868L</vt:lpstr>
    </vt:vector>
  </TitlesOfParts>
  <Company>NUS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A0065868L</dc:title>
  <dc:subject/>
  <dc:creator>ISS</dc:creator>
  <cp:keywords/>
  <dc:description/>
  <cp:lastModifiedBy>Zhu Fangming</cp:lastModifiedBy>
  <cp:revision>26</cp:revision>
  <dcterms:created xsi:type="dcterms:W3CDTF">2020-02-10T09:06:00Z</dcterms:created>
  <dcterms:modified xsi:type="dcterms:W3CDTF">2023-06-27T02:40:00Z</dcterms:modified>
</cp:coreProperties>
</file>