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42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])б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292600" cy="368300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565219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565219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565219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565219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565219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565219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565219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565219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565219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565219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565219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565219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565219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565219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684816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684816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684816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684816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684816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4951838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4951838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546729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625518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625518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625518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625518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8"/>
    <w:p>
      <w:pPr>
        <w:numPr>
          <w:ilvl w:val="0"/>
          <w:numId w:val="1000"/>
        </w:numPr>
        <w:pStyle w:val="CaptionedFigure"/>
      </w:pPr>
      <w:bookmarkStart w:id="133" w:name="fig:028"/>
      <w:r>
        <w:drawing>
          <wp:inline>
            <wp:extent cx="5334000" cy="5625518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bookmarkStart w:id="0" w:name="fig:029"/>
    <w:p>
      <w:pPr>
        <w:numPr>
          <w:ilvl w:val="0"/>
          <w:numId w:val="1000"/>
        </w:numPr>
        <w:pStyle w:val="CaptionedFigure"/>
      </w:pPr>
      <w:bookmarkStart w:id="137" w:name="fig:029"/>
      <w:r>
        <w:drawing>
          <wp:inline>
            <wp:extent cx="5334000" cy="5625518"/>
            <wp:effectExtent b="0" l="0" r="0" t="0"/>
            <wp:docPr descr="Figure 29: Режим поиска и замен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41" w:name="fig:030"/>
      <w:r>
        <w:drawing>
          <wp:inline>
            <wp:extent cx="5334000" cy="5625518"/>
            <wp:effectExtent b="0" l="0" r="0" t="0"/>
            <wp:docPr descr="Figure 30: Режим поиска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numPr>
          <w:ilvl w:val="0"/>
          <w:numId w:val="1000"/>
        </w:numPr>
        <w:pStyle w:val="ImageCaption"/>
      </w:pPr>
      <w:r>
        <w:t xml:space="preserve">Figure 30: Режим поиска</w:t>
      </w:r>
    </w:p>
    <w:bookmarkEnd w:id="0"/>
    <w:bookmarkEnd w:id="142"/>
    <w:bookmarkEnd w:id="143"/>
    <w:bookmarkStart w:id="1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4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Толстых Максим Алексеевич</dc:creator>
  <dc:language>ru-RU</dc:language>
  <cp:keywords/>
  <dcterms:created xsi:type="dcterms:W3CDTF">2023-04-02T23:08:54Z</dcterms:created>
  <dcterms:modified xsi:type="dcterms:W3CDTF">2023-04-02T23:08:54Z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