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76F" w:rsidRDefault="0036676F" w:rsidP="004C4AA6">
      <w:pPr>
        <w:pStyle w:val="Title"/>
      </w:pPr>
      <w:r>
        <w:t>Homework 2</w:t>
      </w:r>
      <w:r>
        <w:tab/>
      </w:r>
      <w:r>
        <w:tab/>
        <w:t>Austin Frownfelter</w:t>
      </w:r>
    </w:p>
    <w:p w:rsidR="004C4AA6" w:rsidRPr="004C4AA6" w:rsidRDefault="004C4AA6" w:rsidP="004C4AA6">
      <w:pPr>
        <w:pStyle w:val="Heading1"/>
      </w:pPr>
      <w:r>
        <w:t>Problem 1</w:t>
      </w:r>
    </w:p>
    <w:p w:rsidR="00213475" w:rsidRDefault="00684FF2" w:rsidP="00213475">
      <w:pPr>
        <w:pStyle w:val="Heading2"/>
      </w:pPr>
      <w:r>
        <w:t>(Part 1</w:t>
      </w:r>
      <w:r w:rsidR="00213475">
        <w:t>)</w:t>
      </w:r>
    </w:p>
    <w:p w:rsidR="00213475" w:rsidRDefault="00213475" w:rsidP="00213475">
      <w:r>
        <w:t>The mean and standard deviation of the mean-study-data is 15.0415 and 5.0279</w:t>
      </w:r>
      <w:r w:rsidR="00684FF2">
        <w:t>,</w:t>
      </w:r>
      <w:r>
        <w:t xml:space="preserve"> respectively</w:t>
      </w:r>
    </w:p>
    <w:p w:rsidR="00213475" w:rsidRDefault="007B55D2" w:rsidP="00213475">
      <w:pPr>
        <w:pStyle w:val="Heading2"/>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51435</wp:posOffset>
            </wp:positionV>
            <wp:extent cx="2714625" cy="2035969"/>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4.png"/>
                    <pic:cNvPicPr/>
                  </pic:nvPicPr>
                  <pic:blipFill>
                    <a:blip r:embed="rId4">
                      <a:extLst>
                        <a:ext uri="{28A0092B-C50C-407E-A947-70E740481C1C}">
                          <a14:useLocalDpi xmlns:a14="http://schemas.microsoft.com/office/drawing/2010/main" val="0"/>
                        </a:ext>
                      </a:extLst>
                    </a:blip>
                    <a:stretch>
                      <a:fillRect/>
                    </a:stretch>
                  </pic:blipFill>
                  <pic:spPr>
                    <a:xfrm>
                      <a:off x="0" y="0"/>
                      <a:ext cx="2714625" cy="2035969"/>
                    </a:xfrm>
                    <a:prstGeom prst="rect">
                      <a:avLst/>
                    </a:prstGeom>
                  </pic:spPr>
                </pic:pic>
              </a:graphicData>
            </a:graphic>
          </wp:anchor>
        </w:drawing>
      </w:r>
      <w:r w:rsidR="00684FF2">
        <w:t>(Part 4</w:t>
      </w:r>
      <w:r w:rsidR="00213475">
        <w:t>)</w:t>
      </w:r>
    </w:p>
    <w:p w:rsidR="007B4BF1" w:rsidRDefault="007B4BF1" w:rsidP="00213475">
      <w:r>
        <w:t xml:space="preserve">The mean of subsample means </w:t>
      </w:r>
      <w:r w:rsidR="007807E1">
        <w:t xml:space="preserve">of size 25 </w:t>
      </w:r>
      <w:r>
        <w:t>resulted in 15.0147, with a standard deviation of 0.9747.  The vertical lines represent the mean and a single standard deviation of the original data.</w:t>
      </w:r>
      <w:r w:rsidR="00140DC2">
        <w:t xml:space="preserve">  The subsample means follow a bell-shaped distribution</w:t>
      </w:r>
      <w:r w:rsidR="00CD31B4">
        <w:t>, with the mean very close to the original data mean.</w:t>
      </w:r>
      <w:r w:rsidR="00CB24E0">
        <w:t xml:space="preserve">  With 2</w:t>
      </w:r>
      <w:r w:rsidR="00431F6E">
        <w:t>5</w:t>
      </w:r>
      <w:r w:rsidR="00CB24E0">
        <w:t xml:space="preserve"> data points in each subsample, it is very unlikely to get </w:t>
      </w:r>
      <w:r w:rsidR="003D37A2">
        <w:t>a mean out in the tail of the original dataset, which is why the standard deviation is a fraction of the data standard deviation.</w:t>
      </w:r>
    </w:p>
    <w:p w:rsidR="007B55D2" w:rsidRDefault="007B55D2" w:rsidP="007B55D2">
      <w:pPr>
        <w:pStyle w:val="Heading2"/>
      </w:pPr>
      <w:r>
        <w:t>(Part 5)</w:t>
      </w:r>
    </w:p>
    <w:p w:rsidR="007B55D2" w:rsidRDefault="007807E1" w:rsidP="007B55D2">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10795</wp:posOffset>
            </wp:positionV>
            <wp:extent cx="2715768" cy="2036826"/>
            <wp:effectExtent l="0" t="0" r="889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5.png"/>
                    <pic:cNvPicPr/>
                  </pic:nvPicPr>
                  <pic:blipFill>
                    <a:blip r:embed="rId5">
                      <a:extLst>
                        <a:ext uri="{28A0092B-C50C-407E-A947-70E740481C1C}">
                          <a14:useLocalDpi xmlns:a14="http://schemas.microsoft.com/office/drawing/2010/main" val="0"/>
                        </a:ext>
                      </a:extLst>
                    </a:blip>
                    <a:stretch>
                      <a:fillRect/>
                    </a:stretch>
                  </pic:blipFill>
                  <pic:spPr>
                    <a:xfrm>
                      <a:off x="0" y="0"/>
                      <a:ext cx="2715768" cy="2036826"/>
                    </a:xfrm>
                    <a:prstGeom prst="rect">
                      <a:avLst/>
                    </a:prstGeom>
                  </pic:spPr>
                </pic:pic>
              </a:graphicData>
            </a:graphic>
            <wp14:sizeRelH relativeFrom="margin">
              <wp14:pctWidth>0</wp14:pctWidth>
            </wp14:sizeRelH>
            <wp14:sizeRelV relativeFrom="margin">
              <wp14:pctHeight>0</wp14:pctHeight>
            </wp14:sizeRelV>
          </wp:anchor>
        </w:drawing>
      </w:r>
      <w:r>
        <w:t xml:space="preserve">The mean of subsample means of size 40 resulted in 15.0796, with a standard deviation of 0.7969.  The sample-40 histogram </w:t>
      </w:r>
      <w:r w:rsidR="00431F6E">
        <w:t xml:space="preserve">(green) </w:t>
      </w:r>
      <w:r>
        <w:t xml:space="preserve">is transposed over </w:t>
      </w:r>
      <w:r w:rsidR="00431F6E">
        <w:t xml:space="preserve">the sample-25 to show the difference.  The sample-40 is tighter than the sample-25 (with an even smaller standard deviation) because there are even fewer possibilities of getting a mean out in the tail with that many random sample points.  </w:t>
      </w:r>
      <w:r w:rsidR="004C4AA6">
        <w:t>The sample-40 is also taller, showing there is a higher probability of getting a subsample mean close to the actual mean.</w:t>
      </w:r>
    </w:p>
    <w:p w:rsidR="004C4AA6" w:rsidRDefault="004C4AA6" w:rsidP="007B55D2"/>
    <w:p w:rsidR="004C4AA6" w:rsidRDefault="004C4AA6" w:rsidP="004C4AA6">
      <w:pPr>
        <w:pStyle w:val="Heading1"/>
      </w:pPr>
      <w:r>
        <w:t>Problem 2</w:t>
      </w:r>
    </w:p>
    <w:p w:rsidR="00D906E6" w:rsidRPr="00D906E6" w:rsidRDefault="00D906E6" w:rsidP="00D906E6">
      <w:pPr>
        <w:pStyle w:val="Heading2"/>
      </w:pPr>
      <w:r>
        <w:t>(Part 2)</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906E6" w:rsidTr="00BE1E55">
        <w:tc>
          <w:tcPr>
            <w:tcW w:w="850" w:type="dxa"/>
          </w:tcPr>
          <w:p w:rsidR="00D906E6" w:rsidRPr="00D906E6" w:rsidRDefault="00D906E6" w:rsidP="00D906E6">
            <w:pPr>
              <w:rPr>
                <w:sz w:val="20"/>
              </w:rPr>
            </w:pPr>
            <w:r w:rsidRPr="00D906E6">
              <w:rPr>
                <w:sz w:val="20"/>
              </w:rPr>
              <w:t>Mean</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14.8675</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14.3936</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14.0634</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15.0472</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15.8946</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15.1703</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15.9065</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15.6044</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14.8419</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14.6258</w:t>
            </w:r>
          </w:p>
        </w:tc>
      </w:tr>
      <w:tr w:rsidR="00D906E6" w:rsidTr="00BE1E55">
        <w:tc>
          <w:tcPr>
            <w:tcW w:w="850" w:type="dxa"/>
          </w:tcPr>
          <w:p w:rsidR="00D906E6" w:rsidRPr="00D906E6" w:rsidRDefault="00D906E6" w:rsidP="00D906E6">
            <w:pPr>
              <w:rPr>
                <w:sz w:val="20"/>
              </w:rPr>
            </w:pPr>
            <w:r w:rsidRPr="00D906E6">
              <w:rPr>
                <w:sz w:val="20"/>
              </w:rPr>
              <w:t>Std Dev</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4.8722</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4.8398</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4.7843</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5.0275</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5.4262</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5.0819</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5.3552</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4.5855</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4.6487</w:t>
            </w:r>
          </w:p>
        </w:tc>
        <w:tc>
          <w:tcPr>
            <w:tcW w:w="850" w:type="dxa"/>
            <w:vAlign w:val="bottom"/>
          </w:tcPr>
          <w:p w:rsidR="00D906E6" w:rsidRPr="00D906E6" w:rsidRDefault="00D906E6" w:rsidP="00D906E6">
            <w:pPr>
              <w:jc w:val="right"/>
              <w:rPr>
                <w:rFonts w:ascii="Calibri" w:hAnsi="Calibri" w:cs="Calibri"/>
                <w:color w:val="000000"/>
                <w:sz w:val="16"/>
              </w:rPr>
            </w:pPr>
            <w:r w:rsidRPr="00D906E6">
              <w:rPr>
                <w:rFonts w:ascii="Calibri" w:hAnsi="Calibri" w:cs="Calibri"/>
                <w:color w:val="000000"/>
                <w:sz w:val="16"/>
              </w:rPr>
              <w:t>5.4515</w:t>
            </w:r>
          </w:p>
        </w:tc>
      </w:tr>
    </w:tbl>
    <w:p w:rsidR="004C4AA6" w:rsidRDefault="0002733D" w:rsidP="004C4AA6">
      <w:r>
        <w:t>Since the dataset is evenly divisible by 10, each fold contained 100 data samples.  In case the folds cannot be split evenly, the first n folds (where n is the remainder of data size divided by k folds) will be size 1 larger than the remaining folds.</w:t>
      </w:r>
      <w:r w:rsidR="00533DA8">
        <w:t xml:space="preserve">  T</w:t>
      </w:r>
      <w:r w:rsidR="002209CD">
        <w:t xml:space="preserve">he mean of means comes out to exactly the mean of the data (to be expected).  The standard deviation comes out to around 0.4% off of the actual standard deviation, as opposed to a maximum of </w:t>
      </w:r>
      <w:r w:rsidR="00470E47">
        <w:t>8.8% error if only a single round of training is done with one of those folds.</w:t>
      </w:r>
    </w:p>
    <w:p w:rsidR="00470E47" w:rsidRDefault="00470E47" w:rsidP="004C4AA6"/>
    <w:p w:rsidR="00470E47" w:rsidRDefault="00D55C50" w:rsidP="00D55C50">
      <w:pPr>
        <w:pStyle w:val="Heading1"/>
      </w:pPr>
      <w:r>
        <w:lastRenderedPageBreak/>
        <w:t>Problem 3</w:t>
      </w:r>
    </w:p>
    <w:p w:rsidR="00D55C50" w:rsidRDefault="00D55C50" w:rsidP="00D55C50">
      <w:pPr>
        <w:pStyle w:val="Heading2"/>
      </w:pPr>
      <w:r>
        <w:t>(A)</w:t>
      </w:r>
    </w:p>
    <w:p w:rsidR="00D55C50" w:rsidRPr="00496AA7" w:rsidRDefault="00496AA7" w:rsidP="00D55C50">
      <w:pPr>
        <w:rPr>
          <w:rFonts w:asciiTheme="majorHAnsi" w:eastAsiaTheme="majorEastAsia" w:hAnsiTheme="majorHAnsi" w:cstheme="majorBidi"/>
        </w:rPr>
      </w:pPr>
      <m:oMathPara>
        <m:oMath>
          <m:r>
            <w:rPr>
              <w:rFonts w:ascii="Cambria Math" w:hAnsi="Cambria Math"/>
            </w:rPr>
            <m:t>2</m:t>
          </m:r>
        </m:oMath>
      </m:oMathPara>
    </w:p>
    <w:p w:rsidR="00496AA7" w:rsidRDefault="00496AA7" w:rsidP="00496AA7">
      <w:pPr>
        <w:pStyle w:val="Heading2"/>
      </w:pPr>
      <w:r>
        <w:t>(B)</w:t>
      </w:r>
    </w:p>
    <w:p w:rsidR="00496AA7" w:rsidRPr="00496AA7" w:rsidRDefault="00496AA7" w:rsidP="00496AA7">
      <w:pPr>
        <w:rPr>
          <w:rFonts w:asciiTheme="majorHAnsi" w:eastAsiaTheme="majorEastAsia" w:hAnsiTheme="majorHAnsi" w:cstheme="majorBidi"/>
        </w:rPr>
      </w:pPr>
      <m:oMathPara>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m:oMathPara>
    </w:p>
    <w:p w:rsidR="00496AA7" w:rsidRDefault="00496AA7" w:rsidP="00496AA7">
      <w:pPr>
        <w:pStyle w:val="Heading2"/>
      </w:pPr>
      <w:r>
        <w:t>(C)</w:t>
      </w:r>
    </w:p>
    <w:p w:rsidR="00496AA7" w:rsidRPr="00496AA7" w:rsidRDefault="00956625" w:rsidP="00496AA7">
      <w:pPr>
        <w:rPr>
          <w:rFonts w:asciiTheme="majorHAnsi" w:eastAsiaTheme="majorEastAsia" w:hAnsiTheme="majorHAnsi" w:cstheme="majorBidi"/>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496AA7" w:rsidRDefault="00496AA7" w:rsidP="00496AA7">
      <w:pPr>
        <w:pStyle w:val="Heading2"/>
      </w:pPr>
      <w:r>
        <w:t>(D)</w:t>
      </w:r>
    </w:p>
    <w:p w:rsidR="00496AA7" w:rsidRPr="00496AA7" w:rsidRDefault="00496AA7" w:rsidP="00496AA7">
      <m:oMathPara>
        <m:oMath>
          <m:r>
            <w:rPr>
              <w:rFonts w:ascii="Cambria Math" w:hAnsi="Cambria Math"/>
            </w:rPr>
            <m:t>2x*</m:t>
          </m:r>
          <m:r>
            <m:rPr>
              <m:sty m:val="p"/>
            </m:rPr>
            <w:rPr>
              <w:rFonts w:ascii="Cambria Math" w:hAnsi="Cambria Math"/>
            </w:rPr>
            <m:t>cos⁡</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m:oMathPara>
    </w:p>
    <w:p w:rsidR="00496AA7" w:rsidRDefault="00496AA7" w:rsidP="00496AA7">
      <w:pPr>
        <w:pStyle w:val="Heading2"/>
      </w:pPr>
      <w:r>
        <w:t>(E)</w:t>
      </w:r>
    </w:p>
    <w:p w:rsidR="00165538" w:rsidRPr="00165538" w:rsidRDefault="00496AA7" w:rsidP="00496AA7">
      <w:pPr>
        <w:rPr>
          <w:rFonts w:asciiTheme="majorHAnsi" w:eastAsiaTheme="majorEastAsia" w:hAnsiTheme="majorHAnsi" w:cstheme="majorBidi"/>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496AA7" w:rsidRDefault="00496AA7" w:rsidP="00496AA7">
      <w:pPr>
        <w:pStyle w:val="Heading2"/>
      </w:pPr>
      <w:r>
        <w:t>(F)</w:t>
      </w:r>
    </w:p>
    <w:p w:rsidR="00496AA7" w:rsidRPr="00496AA7" w:rsidRDefault="00165538" w:rsidP="00496AA7">
      <m:oMathPara>
        <m:oMath>
          <m:r>
            <w:rPr>
              <w:rFonts w:ascii="Cambria Math" w:hAnsi="Cambria Math"/>
            </w:rPr>
            <m:t>-</m:t>
          </m:r>
          <m:f>
            <m:fPr>
              <m:ctrlPr>
                <w:rPr>
                  <w:rFonts w:ascii="Cambria Math" w:hAnsi="Cambria Math"/>
                  <w:i/>
                </w:rPr>
              </m:ctrlPr>
            </m:fPr>
            <m:num>
              <m:r>
                <w:rPr>
                  <w:rFonts w:ascii="Cambria Math" w:hAnsi="Cambria Math"/>
                </w:rPr>
                <m:t>2x+1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d>
                </m:e>
                <m:sup>
                  <m:r>
                    <w:rPr>
                      <w:rFonts w:ascii="Cambria Math" w:hAnsi="Cambria Math"/>
                    </w:rPr>
                    <m:t>2</m:t>
                  </m:r>
                </m:sup>
              </m:sSup>
            </m:den>
          </m:f>
        </m:oMath>
      </m:oMathPara>
    </w:p>
    <w:p w:rsidR="00496AA7" w:rsidRDefault="00496AA7" w:rsidP="00496AA7">
      <w:pPr>
        <w:pStyle w:val="Heading2"/>
      </w:pPr>
      <w:r>
        <w:t>(G)</w:t>
      </w:r>
    </w:p>
    <w:p w:rsidR="00496AA7" w:rsidRPr="00496AA7" w:rsidRDefault="00956625" w:rsidP="00496AA7">
      <m:oMathPara>
        <m:oMath>
          <m:f>
            <m:fPr>
              <m:ctrlPr>
                <w:rPr>
                  <w:rFonts w:ascii="Cambria Math" w:hAnsi="Cambria Math"/>
                  <w:i/>
                </w:rPr>
              </m:ctrlPr>
            </m:fPr>
            <m:num>
              <m:r>
                <w:rPr>
                  <w:rFonts w:ascii="Cambria Math" w:hAnsi="Cambria Math"/>
                </w:rPr>
                <m:t>5</m:t>
              </m:r>
            </m:num>
            <m:den>
              <m:r>
                <w:rPr>
                  <w:rFonts w:ascii="Cambria Math" w:hAnsi="Cambria Math"/>
                </w:rPr>
                <m:t>x</m:t>
              </m:r>
            </m:den>
          </m:f>
        </m:oMath>
      </m:oMathPara>
    </w:p>
    <w:p w:rsidR="00496AA7" w:rsidRDefault="00496AA7" w:rsidP="00496AA7">
      <w:pPr>
        <w:pStyle w:val="Heading2"/>
      </w:pPr>
      <w:r>
        <w:t>(H)</w:t>
      </w:r>
    </w:p>
    <w:p w:rsidR="00496AA7" w:rsidRPr="00496AA7" w:rsidRDefault="00165538" w:rsidP="00496AA7">
      <m:oMathPara>
        <m:oMath>
          <m:r>
            <w:rPr>
              <w:rFonts w:ascii="Cambria Math" w:hAnsi="Cambria Math"/>
            </w:rPr>
            <m:t>0</m:t>
          </m:r>
        </m:oMath>
      </m:oMathPara>
    </w:p>
    <w:p w:rsidR="00496AA7" w:rsidRDefault="00496AA7" w:rsidP="00496AA7">
      <w:pPr>
        <w:pStyle w:val="Heading2"/>
      </w:pPr>
      <w:r>
        <w:t>(J)</w:t>
      </w:r>
    </w:p>
    <w:p w:rsidR="00165538" w:rsidRPr="00FA4E40" w:rsidRDefault="00956625" w:rsidP="00496AA7">
      <w:pPr>
        <w:rPr>
          <w:rFonts w:eastAsiaTheme="minorEastAsia"/>
        </w:rPr>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2x</m:t>
              </m:r>
            </m:den>
          </m:f>
        </m:oMath>
      </m:oMathPara>
    </w:p>
    <w:p w:rsidR="00FA4E40" w:rsidRDefault="00FA4E40" w:rsidP="00FA4E40">
      <w:pPr>
        <w:pStyle w:val="Heading1"/>
        <w:rPr>
          <w:rFonts w:eastAsiaTheme="minorEastAsia"/>
        </w:rPr>
      </w:pPr>
      <w:r>
        <w:rPr>
          <w:rFonts w:eastAsiaTheme="minorEastAsia"/>
        </w:rPr>
        <w:t>Problem 4</w:t>
      </w:r>
    </w:p>
    <w:p w:rsidR="00165538" w:rsidRDefault="00FA4E40" w:rsidP="00FA4E40">
      <w:pPr>
        <w:pStyle w:val="Heading2"/>
      </w:pPr>
      <w:r>
        <w:t>(A)</w:t>
      </w:r>
    </w:p>
    <w:tbl>
      <w:tblPr>
        <w:tblStyle w:val="TableGrid"/>
        <w:tblW w:w="0" w:type="auto"/>
        <w:tblLook w:val="04A0" w:firstRow="1" w:lastRow="0" w:firstColumn="1" w:lastColumn="0" w:noHBand="0" w:noVBand="1"/>
      </w:tblPr>
      <w:tblGrid>
        <w:gridCol w:w="779"/>
        <w:gridCol w:w="779"/>
        <w:gridCol w:w="779"/>
        <w:gridCol w:w="779"/>
        <w:gridCol w:w="779"/>
        <w:gridCol w:w="780"/>
        <w:gridCol w:w="779"/>
        <w:gridCol w:w="779"/>
        <w:gridCol w:w="779"/>
        <w:gridCol w:w="779"/>
        <w:gridCol w:w="779"/>
        <w:gridCol w:w="780"/>
      </w:tblGrid>
      <w:tr w:rsidR="00FA4E40" w:rsidTr="00FA4E40">
        <w:tc>
          <w:tcPr>
            <w:tcW w:w="779" w:type="dxa"/>
          </w:tcPr>
          <w:p w:rsidR="00FA4E40" w:rsidRDefault="00FA4E40" w:rsidP="00FA4E40">
            <w:pPr>
              <w:jc w:val="center"/>
              <w:rPr>
                <w:rFonts w:ascii="Calibri" w:hAnsi="Calibri" w:cs="Calibri"/>
                <w:color w:val="000000"/>
              </w:rPr>
            </w:pPr>
            <w:r>
              <w:rPr>
                <w:rFonts w:ascii="Calibri" w:hAnsi="Calibri" w:cs="Calibri"/>
                <w:color w:val="000000"/>
              </w:rPr>
              <w:t>X</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2</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3</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4</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5</w:t>
            </w:r>
          </w:p>
        </w:tc>
        <w:tc>
          <w:tcPr>
            <w:tcW w:w="780" w:type="dxa"/>
            <w:vAlign w:val="bottom"/>
          </w:tcPr>
          <w:p w:rsidR="00FA4E40" w:rsidRDefault="00FA4E40" w:rsidP="00FA4E40">
            <w:pPr>
              <w:jc w:val="center"/>
              <w:rPr>
                <w:rFonts w:ascii="Calibri" w:hAnsi="Calibri" w:cs="Calibri"/>
                <w:color w:val="000000"/>
              </w:rPr>
            </w:pPr>
            <w:r>
              <w:rPr>
                <w:rFonts w:ascii="Calibri" w:hAnsi="Calibri" w:cs="Calibri"/>
                <w:color w:val="000000"/>
              </w:rPr>
              <w:t>6</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7</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8</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9</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10</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11</w:t>
            </w:r>
          </w:p>
        </w:tc>
        <w:tc>
          <w:tcPr>
            <w:tcW w:w="780" w:type="dxa"/>
            <w:vAlign w:val="bottom"/>
          </w:tcPr>
          <w:p w:rsidR="00FA4E40" w:rsidRDefault="00FA4E40" w:rsidP="00FA4E40">
            <w:pPr>
              <w:jc w:val="center"/>
              <w:rPr>
                <w:rFonts w:ascii="Calibri" w:hAnsi="Calibri" w:cs="Calibri"/>
                <w:color w:val="000000"/>
              </w:rPr>
            </w:pPr>
            <w:r>
              <w:rPr>
                <w:rFonts w:ascii="Calibri" w:hAnsi="Calibri" w:cs="Calibri"/>
                <w:color w:val="000000"/>
              </w:rPr>
              <w:t>12</w:t>
            </w:r>
          </w:p>
        </w:tc>
      </w:tr>
      <w:tr w:rsidR="00FA4E40" w:rsidTr="00FA4E40">
        <w:tc>
          <w:tcPr>
            <w:tcW w:w="779" w:type="dxa"/>
          </w:tcPr>
          <w:p w:rsidR="00FA4E40" w:rsidRDefault="00FA4E40" w:rsidP="00FA4E40">
            <w:pPr>
              <w:jc w:val="center"/>
              <w:rPr>
                <w:rFonts w:ascii="Calibri" w:hAnsi="Calibri" w:cs="Calibri"/>
                <w:color w:val="000000"/>
              </w:rPr>
            </w:pPr>
            <w:r>
              <w:rPr>
                <w:rFonts w:ascii="Calibri" w:hAnsi="Calibri" w:cs="Calibri"/>
                <w:color w:val="000000"/>
              </w:rPr>
              <w:t>P(x)</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1</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2</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3</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4</w:t>
            </w:r>
          </w:p>
        </w:tc>
        <w:tc>
          <w:tcPr>
            <w:tcW w:w="780" w:type="dxa"/>
            <w:vAlign w:val="bottom"/>
          </w:tcPr>
          <w:p w:rsidR="00FA4E40" w:rsidRDefault="00FA4E40" w:rsidP="00FA4E40">
            <w:pPr>
              <w:jc w:val="center"/>
              <w:rPr>
                <w:rFonts w:ascii="Calibri" w:hAnsi="Calibri" w:cs="Calibri"/>
                <w:color w:val="000000"/>
              </w:rPr>
            </w:pPr>
            <w:r>
              <w:rPr>
                <w:rFonts w:ascii="Calibri" w:hAnsi="Calibri" w:cs="Calibri"/>
                <w:color w:val="000000"/>
              </w:rPr>
              <w:t>5</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6</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5</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4</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3</w:t>
            </w:r>
          </w:p>
        </w:tc>
        <w:tc>
          <w:tcPr>
            <w:tcW w:w="779" w:type="dxa"/>
            <w:vAlign w:val="bottom"/>
          </w:tcPr>
          <w:p w:rsidR="00FA4E40" w:rsidRDefault="00FA4E40" w:rsidP="00FA4E40">
            <w:pPr>
              <w:jc w:val="center"/>
              <w:rPr>
                <w:rFonts w:ascii="Calibri" w:hAnsi="Calibri" w:cs="Calibri"/>
                <w:color w:val="000000"/>
              </w:rPr>
            </w:pPr>
            <w:r>
              <w:rPr>
                <w:rFonts w:ascii="Calibri" w:hAnsi="Calibri" w:cs="Calibri"/>
                <w:color w:val="000000"/>
              </w:rPr>
              <w:t>2</w:t>
            </w:r>
          </w:p>
        </w:tc>
        <w:tc>
          <w:tcPr>
            <w:tcW w:w="780" w:type="dxa"/>
            <w:vAlign w:val="bottom"/>
          </w:tcPr>
          <w:p w:rsidR="00FA4E40" w:rsidRDefault="00FA4E40" w:rsidP="00FA4E40">
            <w:pPr>
              <w:jc w:val="center"/>
              <w:rPr>
                <w:rFonts w:ascii="Calibri" w:hAnsi="Calibri" w:cs="Calibri"/>
                <w:color w:val="000000"/>
              </w:rPr>
            </w:pPr>
            <w:r>
              <w:rPr>
                <w:rFonts w:ascii="Calibri" w:hAnsi="Calibri" w:cs="Calibri"/>
                <w:color w:val="000000"/>
              </w:rPr>
              <w:t>1</w:t>
            </w:r>
          </w:p>
        </w:tc>
      </w:tr>
    </w:tbl>
    <w:p w:rsidR="00FA4E40" w:rsidRDefault="00FA4E40" w:rsidP="00FA4E40">
      <w:pPr>
        <w:pStyle w:val="Heading2"/>
      </w:pPr>
    </w:p>
    <w:p w:rsidR="00FA4E40" w:rsidRDefault="00FA4E40" w:rsidP="00FA4E40">
      <w:pPr>
        <w:pStyle w:val="Heading2"/>
      </w:pPr>
      <w:r>
        <w:t>(B)</w:t>
      </w:r>
    </w:p>
    <w:p w:rsidR="00FA4E40" w:rsidRDefault="007167C3" w:rsidP="00FA4E40">
      <w:r>
        <w:t>The expected value is 7.0</w:t>
      </w:r>
    </w:p>
    <w:p w:rsidR="007167C3" w:rsidRDefault="007167C3" w:rsidP="007167C3">
      <w:pPr>
        <w:pStyle w:val="Heading2"/>
      </w:pPr>
      <w:r>
        <w:t>(C)</w:t>
      </w:r>
    </w:p>
    <w:p w:rsidR="007167C3" w:rsidRDefault="007167C3" w:rsidP="007167C3">
      <w:r>
        <w:t>P(no 4 in 5 games) = 0.6472</w:t>
      </w:r>
    </w:p>
    <w:p w:rsidR="007167C3" w:rsidRDefault="007167C3" w:rsidP="007167C3">
      <w:r>
        <w:t>P(even in all 5 games) = 0.03125</w:t>
      </w:r>
    </w:p>
    <w:p w:rsidR="007167C3" w:rsidRDefault="007167C3" w:rsidP="007167C3">
      <w:pPr>
        <w:pStyle w:val="Heading2"/>
      </w:pPr>
      <w:r>
        <w:lastRenderedPageBreak/>
        <w:t>(D)</w:t>
      </w:r>
    </w:p>
    <w:p w:rsidR="007167C3" w:rsidRPr="007167C3" w:rsidRDefault="007167C3" w:rsidP="007167C3">
      <w:r>
        <w:t>The mean will “shift” the distribution to the left or right (the mean is where the peak of the distribution exists.)  The standard deviation affects the “height” of the distribution, where higher standard deviations produce a shorter, “fatter” distribution</w:t>
      </w:r>
      <w:r w:rsidR="00956625">
        <w:t>.</w:t>
      </w:r>
      <w:bookmarkStart w:id="0" w:name="_GoBack"/>
      <w:bookmarkEnd w:id="0"/>
    </w:p>
    <w:sectPr w:rsidR="007167C3" w:rsidRPr="0071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4B"/>
    <w:rsid w:val="0002733D"/>
    <w:rsid w:val="00140DC2"/>
    <w:rsid w:val="00165538"/>
    <w:rsid w:val="00213475"/>
    <w:rsid w:val="002209CD"/>
    <w:rsid w:val="002F3E69"/>
    <w:rsid w:val="0036676F"/>
    <w:rsid w:val="003D37A2"/>
    <w:rsid w:val="00431F6E"/>
    <w:rsid w:val="00470E47"/>
    <w:rsid w:val="00496AA7"/>
    <w:rsid w:val="004C4AA6"/>
    <w:rsid w:val="00533DA8"/>
    <w:rsid w:val="00684FF2"/>
    <w:rsid w:val="006C4D4B"/>
    <w:rsid w:val="007167C3"/>
    <w:rsid w:val="007807E1"/>
    <w:rsid w:val="007B4BF1"/>
    <w:rsid w:val="007B55D2"/>
    <w:rsid w:val="008E755E"/>
    <w:rsid w:val="00956625"/>
    <w:rsid w:val="00CB24E0"/>
    <w:rsid w:val="00CD31B4"/>
    <w:rsid w:val="00D22EAE"/>
    <w:rsid w:val="00D55C50"/>
    <w:rsid w:val="00D906E6"/>
    <w:rsid w:val="00E20C67"/>
    <w:rsid w:val="00FA4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AD62"/>
  <w15:chartTrackingRefBased/>
  <w15:docId w15:val="{D8E5A9FE-F131-4FF7-A626-1B7719AA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34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7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34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C4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A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90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6AA7"/>
    <w:rPr>
      <w:color w:val="808080"/>
    </w:rPr>
  </w:style>
  <w:style w:type="paragraph" w:styleId="BalloonText">
    <w:name w:val="Balloon Text"/>
    <w:basedOn w:val="Normal"/>
    <w:link w:val="BalloonTextChar"/>
    <w:uiPriority w:val="99"/>
    <w:semiHidden/>
    <w:unhideWhenUsed/>
    <w:rsid w:val="00FA4E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18120">
      <w:bodyDiv w:val="1"/>
      <w:marLeft w:val="0"/>
      <w:marRight w:val="0"/>
      <w:marTop w:val="0"/>
      <w:marBottom w:val="0"/>
      <w:divBdr>
        <w:top w:val="none" w:sz="0" w:space="0" w:color="auto"/>
        <w:left w:val="none" w:sz="0" w:space="0" w:color="auto"/>
        <w:bottom w:val="none" w:sz="0" w:space="0" w:color="auto"/>
        <w:right w:val="none" w:sz="0" w:space="0" w:color="auto"/>
      </w:divBdr>
    </w:div>
    <w:div w:id="8829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Frownfelter</dc:creator>
  <cp:keywords/>
  <dc:description/>
  <cp:lastModifiedBy>Austin Frownfelter</cp:lastModifiedBy>
  <cp:revision>10</cp:revision>
  <dcterms:created xsi:type="dcterms:W3CDTF">2017-09-17T18:38:00Z</dcterms:created>
  <dcterms:modified xsi:type="dcterms:W3CDTF">2017-09-20T21:50:00Z</dcterms:modified>
</cp:coreProperties>
</file>