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Yu Gothic"/>
          <w:b/>
          <w:color w:val="0F3D3E"/>
          <w:sz w:val="36"/>
        </w:rPr>
        <w:t>契約審査ガイドライン（業務委託契約）</w:t>
      </w:r>
    </w:p>
    <w:p>
      <w:r>
        <w:rPr>
          <w:rFonts w:ascii="Yu Gothic" w:hAnsi="Yu Gothic" w:eastAsia="Yu Gothic"/>
          <w:b w:val="0"/>
          <w:color w:val="666666"/>
          <w:sz w:val="19"/>
        </w:rPr>
        <w:t>株式会社サンプル商事（甲・委託者）／第1.0版／勉強会デモ用の架空文書</w:t>
      </w:r>
    </w:p>
    <w:p>
      <w:pPr>
        <w:pStyle w:val="Heading1"/>
      </w:pPr>
      <w:r>
        <w:t>1. 目的と適用範囲</w:t>
      </w:r>
    </w:p>
    <w:p>
      <w:r>
        <w:rPr>
          <w:rFonts w:ascii="Yu Gothic" w:hAnsi="Yu Gothic" w:eastAsia="Yu Gothic"/>
          <w:b w:val="0"/>
          <w:sz w:val="21"/>
        </w:rPr>
        <w:t>本ガイドラインは、当社（甲）が外部事業者（乙）に業務を委託する際の契約内容を審査するための基準である。契約書の新規締結・改定時に、下表の基準に照らして内容を確認する。</w:t>
      </w:r>
    </w:p>
    <w:p>
      <w:pPr>
        <w:pStyle w:val="Heading1"/>
      </w:pPr>
      <w:r>
        <w:t>2. 審査基準</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1587"/>
            <w:shd w:val="clear" w:color="auto" w:fill="0F766E"/>
          </w:tcPr>
          <w:p>
            <w:r/>
            <w:r>
              <w:rPr>
                <w:rFonts w:ascii="Yu Gothic" w:hAnsi="Yu Gothic" w:eastAsia="Yu Gothic"/>
                <w:b/>
                <w:color w:val="FFFFFF"/>
                <w:sz w:val="20"/>
              </w:rPr>
              <w:t>項目</w:t>
            </w:r>
          </w:p>
        </w:tc>
        <w:tc>
          <w:tcPr>
            <w:tcW w:type="dxa" w:w="4082"/>
            <w:shd w:val="clear" w:color="auto" w:fill="0F766E"/>
          </w:tcPr>
          <w:p>
            <w:r/>
            <w:r>
              <w:rPr>
                <w:rFonts w:ascii="Yu Gothic" w:hAnsi="Yu Gothic" w:eastAsia="Yu Gothic"/>
                <w:b/>
                <w:color w:val="FFFFFF"/>
                <w:sz w:val="20"/>
              </w:rPr>
              <w:t>当社の基準</w:t>
            </w:r>
          </w:p>
        </w:tc>
        <w:tc>
          <w:tcPr>
            <w:tcW w:type="dxa" w:w="794"/>
            <w:shd w:val="clear" w:color="auto" w:fill="0F766E"/>
          </w:tcPr>
          <w:p>
            <w:r/>
            <w:r>
              <w:rPr>
                <w:rFonts w:ascii="Yu Gothic" w:hAnsi="Yu Gothic" w:eastAsia="Yu Gothic"/>
                <w:b/>
                <w:color w:val="FFFFFF"/>
                <w:sz w:val="20"/>
              </w:rPr>
              <w:t>区分</w:t>
            </w:r>
          </w:p>
        </w:tc>
        <w:tc>
          <w:tcPr>
            <w:tcW w:type="dxa" w:w="3175"/>
            <w:shd w:val="clear" w:color="auto" w:fill="0F766E"/>
          </w:tcPr>
          <w:p>
            <w:r/>
            <w:r>
              <w:rPr>
                <w:rFonts w:ascii="Yu Gothic" w:hAnsi="Yu Gothic" w:eastAsia="Yu Gothic"/>
                <w:b/>
                <w:color w:val="FFFFFF"/>
                <w:sz w:val="20"/>
              </w:rPr>
              <w:t>備考</w:t>
            </w:r>
          </w:p>
        </w:tc>
      </w:tr>
      <w:tr>
        <w:tc>
          <w:tcPr>
            <w:tcW w:type="dxa" w:w="1587"/>
          </w:tcPr>
          <w:p>
            <w:r/>
            <w:r>
              <w:rPr>
                <w:rFonts w:ascii="Yu Gothic" w:hAnsi="Yu Gothic" w:eastAsia="Yu Gothic"/>
                <w:sz w:val="20"/>
              </w:rPr>
              <w:t>契約期間</w:t>
            </w:r>
          </w:p>
        </w:tc>
        <w:tc>
          <w:tcPr>
            <w:tcW w:type="dxa" w:w="4082"/>
          </w:tcPr>
          <w:p>
            <w:r/>
            <w:r>
              <w:rPr>
                <w:rFonts w:ascii="Yu Gothic" w:hAnsi="Yu Gothic" w:eastAsia="Yu Gothic"/>
                <w:sz w:val="20"/>
              </w:rPr>
              <w:t>1年以上2年以内</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2年を超える場合は法務部長の承認が必要</w:t>
            </w:r>
          </w:p>
        </w:tc>
      </w:tr>
      <w:tr>
        <w:tc>
          <w:tcPr>
            <w:tcW w:type="dxa" w:w="1587"/>
          </w:tcPr>
          <w:p>
            <w:r/>
            <w:r>
              <w:rPr>
                <w:rFonts w:ascii="Yu Gothic" w:hAnsi="Yu Gothic" w:eastAsia="Yu Gothic"/>
                <w:sz w:val="20"/>
              </w:rPr>
              <w:t>委託料</w:t>
            </w:r>
          </w:p>
        </w:tc>
        <w:tc>
          <w:tcPr>
            <w:tcW w:type="dxa" w:w="4082"/>
          </w:tcPr>
          <w:p>
            <w:r/>
            <w:r>
              <w:rPr>
                <w:rFonts w:ascii="Yu Gothic" w:hAnsi="Yu Gothic" w:eastAsia="Yu Gothic"/>
                <w:sz w:val="20"/>
              </w:rPr>
              <w:t>月額600,000円以内（消費税別）</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超過する場合は担当役員の承認が必要</w:t>
            </w:r>
          </w:p>
        </w:tc>
      </w:tr>
      <w:tr>
        <w:tc>
          <w:tcPr>
            <w:tcW w:type="dxa" w:w="1587"/>
          </w:tcPr>
          <w:p>
            <w:r/>
            <w:r>
              <w:rPr>
                <w:rFonts w:ascii="Yu Gothic" w:hAnsi="Yu Gothic" w:eastAsia="Yu Gothic"/>
                <w:sz w:val="20"/>
              </w:rPr>
              <w:t>支払条件</w:t>
            </w:r>
          </w:p>
        </w:tc>
        <w:tc>
          <w:tcPr>
            <w:tcW w:type="dxa" w:w="4082"/>
          </w:tcPr>
          <w:p>
            <w:r/>
            <w:r>
              <w:rPr>
                <w:rFonts w:ascii="Yu Gothic" w:hAnsi="Yu Gothic" w:eastAsia="Yu Gothic"/>
                <w:sz w:val="20"/>
              </w:rPr>
              <w:t>検収月の翌月末から翌々月末までに支払う</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それ以前は経理部と調整</w:t>
            </w:r>
          </w:p>
        </w:tc>
      </w:tr>
      <w:tr>
        <w:tc>
          <w:tcPr>
            <w:tcW w:type="dxa" w:w="1587"/>
          </w:tcPr>
          <w:p>
            <w:r/>
            <w:r>
              <w:rPr>
                <w:rFonts w:ascii="Yu Gothic" w:hAnsi="Yu Gothic" w:eastAsia="Yu Gothic"/>
                <w:sz w:val="20"/>
              </w:rPr>
              <w:t>検収期間</w:t>
            </w:r>
          </w:p>
        </w:tc>
        <w:tc>
          <w:tcPr>
            <w:tcW w:type="dxa" w:w="4082"/>
          </w:tcPr>
          <w:p>
            <w:r/>
            <w:r>
              <w:rPr>
                <w:rFonts w:ascii="Yu Gothic" w:hAnsi="Yu Gothic" w:eastAsia="Yu Gothic"/>
                <w:sz w:val="20"/>
              </w:rPr>
              <w:t>納品から10営業日以上を確保する</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10営業日未満は、検証時間が足りず不可</w:t>
            </w:r>
          </w:p>
        </w:tc>
      </w:tr>
      <w:tr>
        <w:tc>
          <w:tcPr>
            <w:tcW w:type="dxa" w:w="1587"/>
          </w:tcPr>
          <w:p>
            <w:r/>
            <w:r>
              <w:rPr>
                <w:rFonts w:ascii="Yu Gothic" w:hAnsi="Yu Gothic" w:eastAsia="Yu Gothic"/>
                <w:sz w:val="20"/>
              </w:rPr>
              <w:t>再委託</w:t>
            </w:r>
          </w:p>
        </w:tc>
        <w:tc>
          <w:tcPr>
            <w:tcW w:type="dxa" w:w="4082"/>
          </w:tcPr>
          <w:p>
            <w:r/>
            <w:r>
              <w:rPr>
                <w:rFonts w:ascii="Yu Gothic" w:hAnsi="Yu Gothic" w:eastAsia="Yu Gothic"/>
                <w:sz w:val="20"/>
              </w:rPr>
              <w:t>甲の事前の書面承諾を必須とする</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通知のみで再委託できる条項は不可</w:t>
            </w:r>
          </w:p>
        </w:tc>
      </w:tr>
      <w:tr>
        <w:tc>
          <w:tcPr>
            <w:tcW w:type="dxa" w:w="1587"/>
          </w:tcPr>
          <w:p>
            <w:r/>
            <w:r>
              <w:rPr>
                <w:rFonts w:ascii="Yu Gothic" w:hAnsi="Yu Gothic" w:eastAsia="Yu Gothic"/>
                <w:sz w:val="20"/>
              </w:rPr>
              <w:t>秘密保持</w:t>
            </w:r>
          </w:p>
        </w:tc>
        <w:tc>
          <w:tcPr>
            <w:tcW w:type="dxa" w:w="4082"/>
          </w:tcPr>
          <w:p>
            <w:r/>
            <w:r>
              <w:rPr>
                <w:rFonts w:ascii="Yu Gothic" w:hAnsi="Yu Gothic" w:eastAsia="Yu Gothic"/>
                <w:sz w:val="20"/>
              </w:rPr>
              <w:t>契約終了後5年以上存続する</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3年は不可（2026年度改定で5年以上に変更）</w:t>
            </w:r>
          </w:p>
        </w:tc>
      </w:tr>
      <w:tr>
        <w:tc>
          <w:tcPr>
            <w:tcW w:type="dxa" w:w="1587"/>
          </w:tcPr>
          <w:p>
            <w:r/>
            <w:r>
              <w:rPr>
                <w:rFonts w:ascii="Yu Gothic" w:hAnsi="Yu Gothic" w:eastAsia="Yu Gothic"/>
                <w:sz w:val="20"/>
              </w:rPr>
              <w:t>損害賠償</w:t>
            </w:r>
          </w:p>
        </w:tc>
        <w:tc>
          <w:tcPr>
            <w:tcW w:type="dxa" w:w="4082"/>
          </w:tcPr>
          <w:p>
            <w:r/>
            <w:r>
              <w:rPr>
                <w:rFonts w:ascii="Yu Gothic" w:hAnsi="Yu Gothic" w:eastAsia="Yu Gothic"/>
                <w:sz w:val="20"/>
              </w:rPr>
              <w:t>上限は直近12か月分以上の委託料とする</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12か月分を下回る上限は不可</w:t>
            </w:r>
          </w:p>
        </w:tc>
      </w:tr>
      <w:tr>
        <w:tc>
          <w:tcPr>
            <w:tcW w:type="dxa" w:w="1587"/>
          </w:tcPr>
          <w:p>
            <w:r/>
            <w:r>
              <w:rPr>
                <w:rFonts w:ascii="Yu Gothic" w:hAnsi="Yu Gothic" w:eastAsia="Yu Gothic"/>
                <w:sz w:val="20"/>
              </w:rPr>
              <w:t>競業避止</w:t>
            </w:r>
          </w:p>
        </w:tc>
        <w:tc>
          <w:tcPr>
            <w:tcW w:type="dxa" w:w="4082"/>
          </w:tcPr>
          <w:p>
            <w:r/>
            <w:r>
              <w:rPr>
                <w:rFonts w:ascii="Yu Gothic" w:hAnsi="Yu Gothic" w:eastAsia="Yu Gothic"/>
                <w:sz w:val="20"/>
              </w:rPr>
              <w:t>契約期間中、甲と競合する事業者からの同種業務の受託を制限する条項を設ける</w:t>
            </w:r>
          </w:p>
        </w:tc>
        <w:tc>
          <w:tcPr>
            <w:tcW w:type="dxa" w:w="794"/>
          </w:tcPr>
          <w:p>
            <w:r/>
            <w:r>
              <w:rPr>
                <w:rFonts w:ascii="Yu Gothic" w:hAnsi="Yu Gothic" w:eastAsia="Yu Gothic"/>
                <w:sz w:val="20"/>
              </w:rPr>
              <w:t>推奨</w:t>
            </w:r>
          </w:p>
        </w:tc>
        <w:tc>
          <w:tcPr>
            <w:tcW w:type="dxa" w:w="3175"/>
          </w:tcPr>
          <w:p>
            <w:r/>
            <w:r>
              <w:rPr>
                <w:rFonts w:ascii="Yu Gothic" w:hAnsi="Yu Gothic" w:eastAsia="Yu Gothic"/>
                <w:sz w:val="20"/>
              </w:rPr>
              <w:t>削除する場合は法務部の確認が必要</w:t>
            </w:r>
          </w:p>
        </w:tc>
      </w:tr>
      <w:tr>
        <w:tc>
          <w:tcPr>
            <w:tcW w:type="dxa" w:w="1587"/>
          </w:tcPr>
          <w:p>
            <w:r/>
            <w:r>
              <w:rPr>
                <w:rFonts w:ascii="Yu Gothic" w:hAnsi="Yu Gothic" w:eastAsia="Yu Gothic"/>
                <w:sz w:val="20"/>
              </w:rPr>
              <w:t>解約予告</w:t>
            </w:r>
          </w:p>
        </w:tc>
        <w:tc>
          <w:tcPr>
            <w:tcW w:type="dxa" w:w="4082"/>
          </w:tcPr>
          <w:p>
            <w:r/>
            <w:r>
              <w:rPr>
                <w:rFonts w:ascii="Yu Gothic" w:hAnsi="Yu Gothic" w:eastAsia="Yu Gothic"/>
                <w:sz w:val="20"/>
              </w:rPr>
              <w:t>3か月前までの書面通知とする</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3か月未満は、後任の手配ができず不可</w:t>
            </w:r>
          </w:p>
        </w:tc>
      </w:tr>
      <w:tr>
        <w:tc>
          <w:tcPr>
            <w:tcW w:type="dxa" w:w="1587"/>
          </w:tcPr>
          <w:p>
            <w:r/>
            <w:r>
              <w:rPr>
                <w:rFonts w:ascii="Yu Gothic" w:hAnsi="Yu Gothic" w:eastAsia="Yu Gothic"/>
                <w:sz w:val="20"/>
              </w:rPr>
              <w:t>反社会的勢力の排除</w:t>
            </w:r>
          </w:p>
        </w:tc>
        <w:tc>
          <w:tcPr>
            <w:tcW w:type="dxa" w:w="4082"/>
          </w:tcPr>
          <w:p>
            <w:r/>
            <w:r>
              <w:rPr>
                <w:rFonts w:ascii="Yu Gothic" w:hAnsi="Yu Gothic" w:eastAsia="Yu Gothic"/>
                <w:sz w:val="20"/>
              </w:rPr>
              <w:t>表明保証および解除権の条項を設ける</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条項がない契約は締結不可</w:t>
            </w:r>
          </w:p>
        </w:tc>
      </w:tr>
      <w:tr>
        <w:tc>
          <w:tcPr>
            <w:tcW w:type="dxa" w:w="1587"/>
          </w:tcPr>
          <w:p>
            <w:r/>
            <w:r>
              <w:rPr>
                <w:rFonts w:ascii="Yu Gothic" w:hAnsi="Yu Gothic" w:eastAsia="Yu Gothic"/>
                <w:sz w:val="20"/>
              </w:rPr>
              <w:t>準拠法・管轄</w:t>
            </w:r>
          </w:p>
        </w:tc>
        <w:tc>
          <w:tcPr>
            <w:tcW w:type="dxa" w:w="4082"/>
          </w:tcPr>
          <w:p>
            <w:r/>
            <w:r>
              <w:rPr>
                <w:rFonts w:ascii="Yu Gothic" w:hAnsi="Yu Gothic" w:eastAsia="Yu Gothic"/>
                <w:sz w:val="20"/>
              </w:rPr>
              <w:t>日本法、東京地方裁判所を専属的合意管轄とする</w:t>
            </w:r>
          </w:p>
        </w:tc>
        <w:tc>
          <w:tcPr>
            <w:tcW w:type="dxa" w:w="794"/>
          </w:tcPr>
          <w:p>
            <w:r/>
            <w:r>
              <w:rPr>
                <w:rFonts w:ascii="Yu Gothic" w:hAnsi="Yu Gothic" w:eastAsia="Yu Gothic"/>
                <w:sz w:val="20"/>
              </w:rPr>
              <w:t>必須</w:t>
            </w:r>
          </w:p>
        </w:tc>
        <w:tc>
          <w:tcPr>
            <w:tcW w:type="dxa" w:w="3175"/>
          </w:tcPr>
          <w:p>
            <w:r/>
            <w:r>
              <w:rPr>
                <w:rFonts w:ascii="Yu Gothic" w:hAnsi="Yu Gothic" w:eastAsia="Yu Gothic"/>
                <w:sz w:val="20"/>
              </w:rPr>
              <w:t>変更する場合は法務部の承認が必要</w:t>
            </w:r>
          </w:p>
        </w:tc>
      </w:tr>
    </w:tbl>
    <w:p>
      <w:pPr>
        <w:pStyle w:val="Heading1"/>
      </w:pPr>
      <w:r>
        <w:t>3. 審査の進め方</w:t>
      </w:r>
    </w:p>
    <w:p>
      <w:pPr>
        <w:pStyle w:val="ListBullet"/>
      </w:pPr>
      <w:r>
        <w:rPr>
          <w:rFonts w:ascii="Yu Gothic" w:hAnsi="Yu Gothic" w:eastAsia="Yu Gothic"/>
          <w:sz w:val="21"/>
        </w:rPr>
        <w:t>新旧の契約書を比較し、変更された項目を抽出する。</w:t>
      </w:r>
    </w:p>
    <w:p>
      <w:pPr>
        <w:pStyle w:val="ListBullet"/>
      </w:pPr>
      <w:r>
        <w:rPr>
          <w:rFonts w:ascii="Yu Gothic" w:hAnsi="Yu Gothic" w:eastAsia="Yu Gothic"/>
          <w:sz w:val="21"/>
        </w:rPr>
        <w:t>変更された項目を、上表の基準と照らし合わせる。</w:t>
      </w:r>
    </w:p>
    <w:p>
      <w:pPr>
        <w:pStyle w:val="ListBullet"/>
      </w:pPr>
      <w:r>
        <w:rPr>
          <w:rFonts w:ascii="Yu Gothic" w:hAnsi="Yu Gothic" w:eastAsia="Yu Gothic"/>
          <w:sz w:val="21"/>
        </w:rPr>
        <w:t>基準を満たさない項目は「基準外」として、該当する基準と備考を示す。</w:t>
      </w:r>
    </w:p>
    <w:p>
      <w:pPr>
        <w:pStyle w:val="ListBullet"/>
      </w:pPr>
      <w:r>
        <w:rPr>
          <w:rFonts w:ascii="Yu Gothic" w:hAnsi="Yu Gothic" w:eastAsia="Yu Gothic"/>
          <w:sz w:val="21"/>
        </w:rPr>
        <w:t>「必須」の基準外は、法務部に確認するまで締結を保留する。</w:t>
      </w:r>
    </w:p>
    <w:p>
      <w:pPr>
        <w:pStyle w:val="Heading1"/>
      </w:pPr>
      <w:r>
        <w:t>4. 注意事項</w:t>
      </w:r>
    </w:p>
    <w:p>
      <w:r>
        <w:rPr>
          <w:rFonts w:ascii="Yu Gothic" w:hAnsi="Yu Gothic" w:eastAsia="Yu Gothic"/>
          <w:b w:val="0"/>
          <w:sz w:val="21"/>
        </w:rPr>
        <w:t>本ガイドラインは審査の目安であり、個別の事情により判断が変わる場合がある。最終判断は法務部が行う。</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F3D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0F3D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