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Yu Gothic" w:hAnsi="Yu Gothic" w:eastAsia="Yu Gothic"/>
          <w:b/>
          <w:color w:val="0F3D3E"/>
          <w:sz w:val="36"/>
        </w:rPr>
        <w:t>PDF比較 観点チェックリスト</w:t>
      </w:r>
    </w:p>
    <w:p>
      <w:r>
        <w:rPr>
          <w:rFonts w:ascii="Yu Gothic" w:hAnsi="Yu Gothic" w:eastAsia="Yu Gothic"/>
          <w:b w:val="0"/>
          <w:color w:val="666666"/>
          <w:sz w:val="19"/>
        </w:rPr>
        <w:t>契約書・見積書・規程の新旧比較で確認する観点／勉強会デモ用</w:t>
      </w:r>
    </w:p>
    <w:p>
      <w:pPr>
        <w:pStyle w:val="Heading1"/>
      </w:pPr>
      <w:r>
        <w:t>1. 共通の観点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shd w:val="clear" w:color="auto" w:fill="0F766E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観点</w:t>
            </w:r>
          </w:p>
        </w:tc>
        <w:tc>
          <w:tcPr>
            <w:tcW w:type="dxa" w:w="6803"/>
            <w:shd w:val="clear" w:color="auto" w:fill="0F766E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確認すること</w:t>
            </w:r>
          </w:p>
        </w:tc>
        <w:tc>
          <w:tcPr>
            <w:tcW w:type="dxa" w:w="1134"/>
            <w:shd w:val="clear" w:color="auto" w:fill="0F766E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重要度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Yu Gothic" w:hAnsi="Yu Gothic" w:eastAsia="Yu Gothic"/>
                <w:sz w:val="20"/>
              </w:rPr>
              <w:t>追加・削除</w:t>
            </w:r>
          </w:p>
        </w:tc>
        <w:tc>
          <w:tcPr>
            <w:tcW w:type="dxa" w:w="6803"/>
          </w:tcPr>
          <w:p>
            <w:r/>
            <w:r>
              <w:rPr>
                <w:rFonts w:ascii="Yu Gothic" w:hAnsi="Yu Gothic" w:eastAsia="Yu Gothic"/>
                <w:sz w:val="20"/>
              </w:rPr>
              <w:t>条・項目・表の行が増えた／減った。削除された内容が実務に影響しないか</w:t>
            </w:r>
          </w:p>
        </w:tc>
        <w:tc>
          <w:tcPr>
            <w:tcW w:type="dxa" w:w="1134"/>
          </w:tcPr>
          <w:p>
            <w:r/>
            <w:r>
              <w:rPr>
                <w:rFonts w:ascii="Yu Gothic" w:hAnsi="Yu Gothic" w:eastAsia="Yu Gothic"/>
                <w:sz w:val="20"/>
              </w:rPr>
              <w:t>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Yu Gothic" w:hAnsi="Yu Gothic" w:eastAsia="Yu Gothic"/>
                <w:sz w:val="20"/>
              </w:rPr>
              <w:t>数値の変更</w:t>
            </w:r>
          </w:p>
        </w:tc>
        <w:tc>
          <w:tcPr>
            <w:tcW w:type="dxa" w:w="6803"/>
          </w:tcPr>
          <w:p>
            <w:r/>
            <w:r>
              <w:rPr>
                <w:rFonts w:ascii="Yu Gothic" w:hAnsi="Yu Gothic" w:eastAsia="Yu Gothic"/>
                <w:sz w:val="20"/>
              </w:rPr>
              <w:t>金額・日付・期間・数量・割合・営業日数。桁・単位・税の扱いも確認</w:t>
            </w:r>
          </w:p>
        </w:tc>
        <w:tc>
          <w:tcPr>
            <w:tcW w:type="dxa" w:w="1134"/>
          </w:tcPr>
          <w:p>
            <w:r/>
            <w:r>
              <w:rPr>
                <w:rFonts w:ascii="Yu Gothic" w:hAnsi="Yu Gothic" w:eastAsia="Yu Gothic"/>
                <w:sz w:val="20"/>
              </w:rPr>
              <w:t>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Yu Gothic" w:hAnsi="Yu Gothic" w:eastAsia="Yu Gothic"/>
                <w:sz w:val="20"/>
              </w:rPr>
              <w:t>意味の変化</w:t>
            </w:r>
          </w:p>
        </w:tc>
        <w:tc>
          <w:tcPr>
            <w:tcW w:type="dxa" w:w="6803"/>
          </w:tcPr>
          <w:p>
            <w:r/>
            <w:r>
              <w:rPr>
                <w:rFonts w:ascii="Yu Gothic" w:hAnsi="Yu Gothic" w:eastAsia="Yu Gothic"/>
                <w:sz w:val="20"/>
              </w:rPr>
              <w:t>「できる」「しなければならない」の違い、承諾の要否、例外規定の追加・削除</w:t>
            </w:r>
          </w:p>
        </w:tc>
        <w:tc>
          <w:tcPr>
            <w:tcW w:type="dxa" w:w="1134"/>
          </w:tcPr>
          <w:p>
            <w:r/>
            <w:r>
              <w:rPr>
                <w:rFonts w:ascii="Yu Gothic" w:hAnsi="Yu Gothic" w:eastAsia="Yu Gothic"/>
                <w:sz w:val="20"/>
              </w:rPr>
              <w:t>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Yu Gothic" w:hAnsi="Yu Gothic" w:eastAsia="Yu Gothic"/>
                <w:sz w:val="20"/>
              </w:rPr>
              <w:t>条番号のずれ</w:t>
            </w:r>
          </w:p>
        </w:tc>
        <w:tc>
          <w:tcPr>
            <w:tcW w:type="dxa" w:w="6803"/>
          </w:tcPr>
          <w:p>
            <w:r/>
            <w:r>
              <w:rPr>
                <w:rFonts w:ascii="Yu Gothic" w:hAnsi="Yu Gothic" w:eastAsia="Yu Gothic"/>
                <w:sz w:val="20"/>
              </w:rPr>
              <w:t>条の追加・削除で番号が変わっていないか。新旧の対応を示す</w:t>
            </w:r>
          </w:p>
        </w:tc>
        <w:tc>
          <w:tcPr>
            <w:tcW w:type="dxa" w:w="1134"/>
          </w:tcPr>
          <w:p>
            <w:r/>
            <w:r>
              <w:rPr>
                <w:rFonts w:ascii="Yu Gothic" w:hAnsi="Yu Gothic" w:eastAsia="Yu Gothic"/>
                <w:sz w:val="20"/>
              </w:rPr>
              <w:t>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Yu Gothic" w:hAnsi="Yu Gothic" w:eastAsia="Yu Gothic"/>
                <w:sz w:val="20"/>
              </w:rPr>
              <w:t>用語の変更</w:t>
            </w:r>
          </w:p>
        </w:tc>
        <w:tc>
          <w:tcPr>
            <w:tcW w:type="dxa" w:w="6803"/>
          </w:tcPr>
          <w:p>
            <w:r/>
            <w:r>
              <w:rPr>
                <w:rFonts w:ascii="Yu Gothic" w:hAnsi="Yu Gothic" w:eastAsia="Yu Gothic"/>
                <w:sz w:val="20"/>
              </w:rPr>
              <w:t>定義語（甲・乙・本業務など）の範囲が変わっていないか</w:t>
            </w:r>
          </w:p>
        </w:tc>
        <w:tc>
          <w:tcPr>
            <w:tcW w:type="dxa" w:w="1134"/>
          </w:tcPr>
          <w:p>
            <w:r/>
            <w:r>
              <w:rPr>
                <w:rFonts w:ascii="Yu Gothic" w:hAnsi="Yu Gothic" w:eastAsia="Yu Gothic"/>
                <w:sz w:val="20"/>
              </w:rPr>
              <w:t>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Yu Gothic" w:hAnsi="Yu Gothic" w:eastAsia="Yu Gothic"/>
                <w:sz w:val="20"/>
              </w:rPr>
              <w:t>体裁の変更</w:t>
            </w:r>
          </w:p>
        </w:tc>
        <w:tc>
          <w:tcPr>
            <w:tcW w:type="dxa" w:w="6803"/>
          </w:tcPr>
          <w:p>
            <w:r/>
            <w:r>
              <w:rPr>
                <w:rFonts w:ascii="Yu Gothic" w:hAnsi="Yu Gothic" w:eastAsia="Yu Gothic"/>
                <w:sz w:val="20"/>
              </w:rPr>
              <w:t>表記ゆれ・誤字の修正のみで、意味が変わらないもの</w:t>
            </w:r>
          </w:p>
        </w:tc>
        <w:tc>
          <w:tcPr>
            <w:tcW w:type="dxa" w:w="1134"/>
          </w:tcPr>
          <w:p>
            <w:r/>
            <w:r>
              <w:rPr>
                <w:rFonts w:ascii="Yu Gothic" w:hAnsi="Yu Gothic" w:eastAsia="Yu Gothic"/>
                <w:sz w:val="20"/>
              </w:rPr>
              <w:t>低</w:t>
            </w:r>
          </w:p>
        </w:tc>
      </w:tr>
    </w:tbl>
    <w:p>
      <w:pPr>
        <w:pStyle w:val="Heading1"/>
      </w:pPr>
      <w:r>
        <w:t>2. 契約書の追加観点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契約期間・更新条件（自動更新の有無、通知期限）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委託料・支払条件（締め日、支払期限、振込手数料）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検収（期間、みなし合格）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再委託、秘密保持、損害賠償の上限、解約予告、競業避止、反社会的勢力の排除</w:t>
      </w:r>
    </w:p>
    <w:p>
      <w:pPr>
        <w:pStyle w:val="Heading1"/>
      </w:pPr>
      <w:r>
        <w:t>3. 見積書の追加観点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項目ごとの数量・単価・金額、小計・消費税・合計の整合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新規に追加された項目、削除された項目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納期・有効期限・支払条件・保証期間などの見積条件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含まれない費用（インフラ費用など）の記載</w:t>
      </w:r>
    </w:p>
    <w:p>
      <w:pPr>
        <w:pStyle w:val="Heading1"/>
      </w:pPr>
      <w:r>
        <w:t>4. 報告時のルール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重要度「高」の変更を先に示す。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すべての差異に、根拠（条番号・ページ）を付ける。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文書に記載がない内容は「記載なし」と書き、推測で補わない。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0F3D3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0F3D3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