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Statistical Methodologies for Behavioral Gap Analysis and Visualization Frameworks in the United States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Behavioral Gap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gap analysis represents the systematic investigation of the cognitive, structural, and systemic dissonance between human intention and subsequent action. Often formalized within the context of the "intention-behavior gap," this analytical domain seeks to understand why individuals, cohorts, or entire demographics who express distinct preferences, intentions, or attitudes fail to execute the corresponding behaviors. In contemporary socio-economic environments—ranging from sustainable consumer consumption and environmental regulatory compliance to digital product adoption, occupational health, and observational medical research—this gap represents a critical systemic inefficiency. Historically, organizations and academic researchers relied heavily on predictive modeling and correlation-based frameworks to bridge this divide. However, predictive modeling merely identifies </w:t>
      </w:r>
      <w:r w:rsidDel="00000000" w:rsidR="00000000" w:rsidRPr="00000000">
        <w:rPr>
          <w:i w:val="1"/>
          <w:iCs w:val="1"/>
          <w:rtl w:val="0"/>
        </w:rPr>
        <w:t xml:space="preserve">who</w:t>
      </w:r>
      <w:r w:rsidDel="00000000" w:rsidR="00000000" w:rsidRPr="00000000">
        <w:rPr>
          <w:rtl w:val="0"/>
        </w:rPr>
        <w:t xml:space="preserve"> is likely to take an action, rather than </w:t>
      </w:r>
      <w:r w:rsidDel="00000000" w:rsidR="00000000" w:rsidRPr="00000000">
        <w:rPr>
          <w:i w:val="1"/>
          <w:iCs w:val="1"/>
          <w:rtl w:val="0"/>
        </w:rPr>
        <w:t xml:space="preserve">why</w:t>
      </w:r>
      <w:r w:rsidDel="00000000" w:rsidR="00000000" w:rsidRPr="00000000">
        <w:rPr>
          <w:rtl w:val="0"/>
        </w:rPr>
        <w:t xml:space="preserve"> they take it, </w:t>
      </w:r>
      <w:r w:rsidDel="00000000" w:rsidR="00000000" w:rsidRPr="00000000">
        <w:rPr>
          <w:i w:val="1"/>
          <w:iCs w:val="1"/>
          <w:rtl w:val="0"/>
        </w:rPr>
        <w:t xml:space="preserve">what</w:t>
      </w:r>
      <w:r w:rsidDel="00000000" w:rsidR="00000000" w:rsidRPr="00000000">
        <w:rPr>
          <w:rtl w:val="0"/>
        </w:rPr>
        <w:t xml:space="preserve"> structural barriers prevent it, or </w:t>
      </w:r>
      <w:r w:rsidDel="00000000" w:rsidR="00000000" w:rsidRPr="00000000">
        <w:rPr>
          <w:i w:val="1"/>
          <w:iCs w:val="1"/>
          <w:rtl w:val="0"/>
        </w:rPr>
        <w:t xml:space="preserve">which</w:t>
      </w:r>
      <w:r w:rsidDel="00000000" w:rsidR="00000000" w:rsidRPr="00000000">
        <w:rPr>
          <w:rtl w:val="0"/>
        </w:rPr>
        <w:t xml:space="preserve"> intervention will successfully catalyze the transition from intention to behavior.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2026, the methodological landscape governing behavioral analytics has undergone a profound structural shift. The global integration of Causal Artificial Intelligence (Causal AI), Structural Causal Models (SCMs), high-dimensional representation learning, and rigorous Differential Privacy (DP) protocols has redefined how behavioral gaps are measured, modeled, and mitigated. The focus has shifted definitively from retroactive, lagging indicators to proactive, leading indicators that isolate explicit causal mechanisms. Furthermore, as behavioral datasets grow in dimensionality and complexity—encompassing multimodal inputs such as semantic text, transaction histories, medical imaging, and latent user preferences—traditional statistical methods have proven mathematically and operationally insufficient.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an exhaustive, peer-level examination of the most current statistical methodologies recommended for behavioral gap analysis. It explores the obsolescence of correlative data mining, the ascendance of Causal Machine Learning (CausalML) and LLM-assisted causal discovery, the mathematical nuances of topological clustering (UMAP, PaCMAP, HDBSCAN), and the cryptographic necessity of differential privacy. Finally, it establishes a definitive framework for visualizing these complex behavioral dynamics, tailored specifically to the data analytics maturity, enterprise tooling ecosystems, and interpretability standards prevalent in the United States.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Foundations: The Intention-Behavior Paradigm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rigorously analyze behavioral gaps, one must first establish the theoretical frameworks that govern human decision-making and systemic friction. The Theory of Planned Behavior (TPB) remains a foundational cornerstone in understanding the translation of psychological domains into actual outcomes. TPB posits that behavior is primarily driven by behavioral intentions, which are in turn shaped by attitudes toward the behavior, subjective norms (social pressure), and perceived behavioral control.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current empirical literature emphasizes that internal motivation, such as environmental concern or expressed intent, is entirely insufficient to guarantee behavioral change. This is particularly true in contexts involving habit disruption, cognitive effort, or financial cost. For instance, numerous consumers abandon green purchasing intentions due to convenience barriers, high perceived costs, or profound skepticism regarding corporate transparency—a phenomenon frequently classified as greenwashing. This manifestation is explicitly defined as the "attitude-behavior gap."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mathematically map these theoretical constructs, modern data science methodologies must integrate macro-level structural variables with micro-level behavioral processes. In transitional economies or complex regulatory environments, the absence of mentorship, difficult-to-access institutional services, and vague guidance reinforces learned helplessness and identity influences, creating structural behavioral gaps.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this paradigm extends beyond consumer behavior into organizational operations. In occupational health and safety, historical performance was measured using lagging indicators, such as total recordable injury rates, which merely document outcomes. Modern behavioral gap analysis demands a shift toward leading indicators—metrics that document safety climate, worker participation, and hazard identification behaviors—which proactively identify areas where additional training or intervention can close the gap before an incident occurs.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Framework Domain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Attitude &amp; Emotion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Favorable attitudes formed through awareness, heavily modified by sensory and emotional resonance.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natural language processing (NLP) and sentiment embeddings to quantify latent emotional states.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Brand Trust &amp; Transparency</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Serves as both a catalyst and gatekeeper; lacking trust creates an insurmountable barrier to intended behavior.</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interaction terms in causal models to measure the moderating effect of perceived credibility.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Perceived Behavioral Control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individual's perception of the ease or difficulty of performing the behavior, often influenced by structural friction.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multi-stage conversion tracking to identify specific drop-off nodes in the user journey.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Macro-Structural Frictions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barriers (e.g., inaccessible calibration services, complex compliance protocols) that override micro-intentions.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hierarchical modeling and Structural Causal Models (SCMs) to isolate systemic bottlenecks from individual choice.</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Obsolescence of Association Rule Mining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foundational eras of data mining, Association Rule Mining (ARM)—popularized by algorithms such as Apriori—was extensively utilized for exploratory data analysis, quantitative profiling, and identifying correlated behavioral patterns. ARM generates rules expressing implications of the form X \rightarrow Y, suggesting that when itemset X appears in a transaction or behavioral sequence, itemset Y tends to appear as well. The strength of these rules is governed by support (the frequency of the itemset) and confidence (the conditional probability of Y given 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its historical prevalence, current methodological consensus strongly criticizes Association Rule Mining as inadequate for rigorous behavioral gap analysis due to several mathematical and practical limitations.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Firstly, ARM is computationally prohibitive when applied to dense, high-dimensional datasets. The search space for frequent itemsets expands exponentially relative to the number of unique behavioral items, leading to rapid combinatorial explosion. Secondly, and more critically, ARM is highly susceptible to generating massive volumes of trivial, redundant, or spurious rules. A rule may exhibit exceptionally high confidence, yet lack any statistical significance or meaningful domain relevance. This results in a critical false-positive problem, where overlapping behaviors are flagged as significant despite sharing no causal link.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Ultimately, knowing that behavior X is frequently associated with behavior Y does not inform an organization on how to bridge the gap if a user exhibits X but fails to exhibit Y. It merely describes a historical correlation. To move from passive observation to active intervention, researchers must transition to causal inference.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Causal Machine Learning and Uplift Modeling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Causal Machine Learning (CausalML) represents a synthesis of traditional econometrics and advanced machine learning optimization. While standard machine learning minimizes predictive error (e.g., predicting who is likely to churn), CausalML minimizes causal estimation error, isolating the specific, isolated effect of an intervention (a "treatment") on a behavioral outcome. In the precise context of the intention-behavior gap, CausalML answers the definitive operational question: </w:t>
      </w:r>
      <w:r w:rsidDel="00000000" w:rsidR="00000000" w:rsidRPr="00000000">
        <w:rPr>
          <w:i w:val="1"/>
          <w:iCs w:val="1"/>
          <w:rtl w:val="0"/>
        </w:rPr>
        <w:t xml:space="preserve">Which specific intervention will successfully transition this exact user from inaction to action?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metric governing this domain is the Conditional Average Treatment Effect (CATE), defined as the expected difference in potential outcomes for a specific individual given their distinct covariates X:</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\tau(x) = \mathbb{E}[Y(1) \mid X=x] - \mathbb{E}[Y(0) \mid X=x]</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Y(1) represents the potential outcome if the individual receives the treatment (e.g., a targeted digital nudge, a pricing discount, or specialized training), and Y(0) represents the potential outcome if they remain in the control state. Because the fundamental problem of causal inference dictates that one can never observe both Y(1) and Y(0) simultaneously for the same individual, algorithms must reliably estimate this counterfactual reality from observational or randomized experimental data.</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Causal Assumptions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CATE estimates to be statistically valid, the underlying data and experimental design must satisfy three strict identification assumptions: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Unconfoundedness (Conditional Ignorability):</w:t>
      </w:r>
      <w:r w:rsidDel="00000000" w:rsidR="00000000" w:rsidRPr="00000000">
        <w:rPr>
          <w:rtl w:val="0"/>
        </w:rPr>
        <w:t xml:space="preserve"> The treatment assignment must be independent of the potential outcomes given the observed covariates. In a randomized controlled trial (RCT), this holds automatically. In observational data, the feature set must be rich enough to control for all variables that influence both the treatment assignment and the behavioral outcome.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Overlap (Positivity):</w:t>
      </w:r>
      <w:r w:rsidDel="00000000" w:rsidR="00000000" w:rsidRPr="00000000">
        <w:rPr>
          <w:rtl w:val="0"/>
        </w:rPr>
        <w:t xml:space="preserve"> Every individual in the cohort must have a non-zero probability of receiving either the treatment or the control state. If certain subpopulations have a near-zero probability of receiving treatment, CATE estimates in that regional space will suffer from extreme variance.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Stable Unit Treatment Value Assumption (SUTVA):</w:t>
      </w:r>
      <w:r w:rsidDel="00000000" w:rsidR="00000000" w:rsidRPr="00000000">
        <w:rPr>
          <w:rtl w:val="0"/>
        </w:rPr>
        <w:t xml:space="preserve"> An individual's outcome must depend only on their own treatment assignment, entirely independent of the treatment status of other individuals. In highly networked environments (e.g., social proof mechanisms), SUTVA violations require advanced network-aware causal adjustments.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Behavioral Quadrants of Uplift Modeling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individual uplift scores are calculated, the targeted population can be deterministically segmented into four distinct behavioral quadrants. Mastering these segments is the conceptual core of efficiently bridging behavioral gaps without wasting institutional resources.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Quadrant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Incremental Impact of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Action Directive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Persuadables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Individuals who will only cross the behavioral gap (take action) if they receive the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Positive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aggressively. These users yield the absolute highest return on intervention investment.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Sure Things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Individuals who possess high inherent motivation and will execute the behavior regardless of the intervention.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from targeting. Intervening here wastes resources (e.g., subsidizing a purchase they were already going to make).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Lost Causes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Individuals who will not execute the behavior under any circumstances, regardless of the intervention applied.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 from targeting. The intention-behavior gap is currently insurmountable under the existing parameter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Sleeping Dogs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Individuals who will react negatively to the intervention, actively reducing their likelihood of action (e.g., churn triggered by notification fatigue).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Actively avoid. Intervening here directly sabotages the behavioral objective.</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predictive response models conflate "Persuadables" and "Sure Things," routinely rewarding algorithms for targeting individuals who were going to convert regardless, thereby resulting in zero incremental behavioral lift. CausalML specifically isolates the "Persuadables" while deliberately avoiding "Sleeping Dogs."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Meta-Learners for CATE Estimation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compute these individualized uplift scores, the research community heavily relies on Meta-Learners—meta-algorithms that wrap around standard, high-performing machine learning base models (such as LightGBM, CatBoost, or Random Forests) to estimate CATE. The primary variants implemented in leading open-source Python libraries, such as Uber's causalml and Microsoft's EconML, include: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S-Learner (Single Model):</w:t>
      </w:r>
      <w:r w:rsidDel="00000000" w:rsidR="00000000" w:rsidRPr="00000000">
        <w:rPr>
          <w:rtl w:val="0"/>
        </w:rPr>
        <w:t xml:space="preserve"> The simplest meta-learner. A single machine learning estimator is trained on the entire concatenated dataset, with the treatment assignment (T) included merely as a standard feature alongside all other covariates (X). Individual uplift is calculated by predicting the outcome with the treatment flag set to 1, and subtracting the prediction with the flag set to 0. While computationally highly efficient, S-Learners are exceptionally vulnerable to regularization bias. In high-dimensional behavioral datasets, tree-based models frequently ignore the treatment indicator if its predictive signal is weak relative to robust continuous features, falsely predicting zero uplift across the board.</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T-Learner (Two Models):</w:t>
      </w:r>
      <w:r w:rsidDel="00000000" w:rsidR="00000000" w:rsidRPr="00000000">
        <w:rPr>
          <w:rtl w:val="0"/>
        </w:rPr>
        <w:t xml:space="preserve"> To combat regularization bias, the T-Learner splits the data by treatment status. It trains one model exclusively on treated individuals to estimate \mathbb{E}[Y \mid X, T=1], and a completely separate model on control individuals to estimate \mathbb{E}[Y \mid X, T=0]. The CATE is the arithmetic difference between the two independent predictions. While this forces the model to acknowledge the treatment, it introduces a severe failure mode: sample size mismatch. If the treatment and control groups are highly unbalanced in size, the T-Learner may invent heterogeneous treatment effects simply due to differing levels of variance and overfitting between the two models.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X-Learner:</w:t>
      </w:r>
      <w:r w:rsidDel="00000000" w:rsidR="00000000" w:rsidRPr="00000000">
        <w:rPr>
          <w:rtl w:val="0"/>
        </w:rPr>
        <w:t xml:space="preserve"> Designed specifically by researchers to correct the discrepancies of the T-Learner. It operates in multiple stages. First, it utilizes the predictions from a baseline T-Learner to compute imputed treatment effects for both groups. Next, it trains a second stage of models to predict these imputed effects directly. Finally, it uses a propensity score weighting mechanism to combine the estimates. The X-Learner effectively borrows information from the control group to improve estimates in the treatment group, making it highly robust for environments where interventions are rare, expensive, or heavily imbalanced.</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Transformed Outcome (Class Variable Transformation):</w:t>
      </w:r>
      <w:r w:rsidDel="00000000" w:rsidR="00000000" w:rsidRPr="00000000">
        <w:rPr>
          <w:rtl w:val="0"/>
        </w:rPr>
        <w:t xml:space="preserve"> Rather than training multiple models, this approach mathematically transforms the target variable such that a single regression algorithm can recover uplift directly. The transformation is defined as:Y^* = \frac{T - p}{p(1-p)}Y Where p represents the propensity score (the probability of receiving treatment given X). The conditional expectation of this transformed outcome is equal to the true uplift: \mathbb{E}[Y^* \mid X=x] = \tau(x). While this estimator can suffer from high variance—because Y^* is mathematically unbounded and inherently noisy—it provides direct uplift estimation and proves highly effective when paired with bagging techniques.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Forests and Uplift Trees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Meta-learners, tree-based causal approaches (e.g., Uplift Random Forests) are widely recognized as the strongest off-the-shelf estimators for tabular behavioral data. Standard decision trees determine splits by minimizing prediction error metrics (e.g., Gini impurity or Mean Squared Error). Uplift trees alter this splitting criterion fundamentally: they split nodes specifically to maximize the difference in treatment effect between the left and right child nodes, effectively maximizing the divergence between the treatment and control distributions.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Advanced implementations, such as Causal Forests, apply a rigorous statistical discipline known as "honesty." An honest tree strictly splits its training sample in half. The first half is used exclusively to determine the tree's structural splits, while the second, untouched half is routed through the finalized structure to populate the leaves and calculate the final effect estimates. This strict separation prevents the leaf estimates from being contaminated by the exhaustive search process that built the tree, thereby ensuring valid, tight confidence intervals for individual behavioral predictions.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Causal Models and LLM-Assisted Causal Discovery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CausalML precisely estimates the magnitude of a behavioral intervention, Structural Causal Models (SCMs) are required to map the overarching architecture of the behavioral system. Formulated heavily upon Judea Pearl's mathematical framework of causality, an SCM allows researchers to graphically articulate the directional relationships between unobserved exogenous variables (U), observed endogenous variables (V), and the structural functions (F) that connect them.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SCM is visually represented by a Directed Acyclic Graph (DAG), where nodes represent discrete variables (e.g., systemic friction, social proof, environmental concern, final conversion) and directed edges represent direct causal influence.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X_i = f_i(\text{PA}_i, U_i)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\text{PA}_i represents the explicit parent nodes of X_i within the DAG, and U_i represents the stochastic exogenous noise term capturing latent factors not explained by the observed parents. Without an accurate DAG guiding the analysis, behavioral gap analysis falls prey to unmeasured confounders—hidden variables that influence both the treatment assignment and the behavioral outcome, generating spurious statistical correlations that misguide policy.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of Causal Discovery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identifying the correct DAG relied on manual construction by domain experts, or the application of statistical causal discovery algorithms operating on purely observational data. Constraint-based methods, such as the PC algorithm, rely on conditional independence tests to remove edges and orient v-structures. Score-based methods, such as Greedy Equivalence Search (GES), formulate causal discovery as an optimization problem, searching the space of possible graphs to maximize a penalized likelihood score.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these traditional algorithms struggle immensely with high-dimensional behavioral data. They require strict, often unrealistic assumptions (such as causal sufficiency, which assumes no hidden confounders exist) and exhibit extreme instability when processing non-linear human behavioral patterns.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Large Language Models as Causal Reasoning Engines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research in 2025 and 2026 highlights a massive methodological paradigm shift: leveraging Large Language Models (LLMs) as reasoning engines to fundamentally assist in causal discovery. Pre-trained LLMs encapsulate vast, multidimensional representations of human behavior, commonsense reasoning, and systemic domain knowledge.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Through techniques like Supervised Fine-Tuning (SFT) and Structural Instruction Tuning, researchers can explicitly teach LLMs to hypothesize causal structures. For example, the CARE framework utilizes SFT on models like Qwen2.5-1.5B to integrate empirical algorithmic clues with the LLM's latent semantic knowledge. By applying Chain-of-Thought (CoT) prompting aligned with SCM principles, the LLM evaluates the plausibility of directed edges proposed by traditional algorithms, significantly reducing the immense search space and vastly improving the F1 score of discovered causal graphs. This hybrid approach—fusing statistical score-based optimization with LLM semantic reasoning—represents the current state-of-the-art for mapping complex behavioral domains.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High-Dimensional Representation Learning and Cohort Segmentation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behavioral gaps can be analyzed causally, massive user populations must often be segmented into meaningful, mathematically stable cohorts. Modern behavioral datasets are rarely comprised of simple tabular data; they consist of sparse, high-dimensional, and multimodal streams, including semantic text (e.g., unstructured feedback), temporal clickstreams, and even medical imaging in healthcare behavior contexts (e.g., integrating otoscopy videos with tympanometry for diagnostic decision-fusion).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Relying on raw feature vectors in these spaces leads directly to the "curse of dimensionality," where distance metrics lose geometric meaning and predictive models violently overfit. Current statistical methodologies mandate the use of representation learning to project raw multimodal behavioral data into lower-dimensional, continuous latent spaces.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Techniques such as masked-loss-guided embedding and exponential cosine similarity loss force models to reconstruct masked semantics from correlated unmasked features, creating structural inductive biases that suppress stochastic noise while retaining genuine behavioral signals. In these latent spaces, geometric proximity strongly correlates with semantic or behavioral similarity.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auditing these latent representations for bias is critical. Frameworks like ShortKit-ML apply geometry-based representation analysis, bias-aware clustering, and latent-space spectral analysis to ensure that the embeddings do not rely on unfair demographic shortcuts. This is particularly vital in high-stakes automated evaluations, such as AI-driven essay grading, where hybrid human-AI systems require interpretable, fairness-aware anomaly detection to maintain trust and mitigate algorithmic bias.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Dimensionality Reduction: UMAP vs. PaCMAP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dense embeddings are generated (e.g., via Transformers, autoencoders, or SentenceTransformers), they must be algorithmically reduced for clustering and visualization. Uniform Manifold Approximation and Projection (UMAP) has become the de facto standard for this task. UMAP constructs a high-dimensional fuzzy topological representation of the data and optimizes a low-dimensional graph to be as structurally similar as possible.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procedure relies on computing pairwise distance matrices—often utilizing Huang's distance for mixed categorical-numerical behavioral data—and constructing a weighted adjacency matrix based on k-nearest neighbors. The algorithm initializes the low-dimensional space using spectral embedding (such as Laplacian Eigenmaps) for rapid convergence, and then applies stochastic gradient descent to minimize cross-entropy between the two topological graphs.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UMAP heavily outperforms historical methods like Principal Component Analysis (PCA), which is restricted to linear constraints, and t-Distributed Stochastic Neighbor Embedding (t-SNE), which frequently shatters continuous clusters into artificial sub-components. However, UMAP's primary objective is preserving </w:t>
      </w:r>
      <w:r w:rsidDel="00000000" w:rsidR="00000000" w:rsidRPr="00000000">
        <w:rPr>
          <w:i w:val="1"/>
          <w:iCs w:val="1"/>
          <w:rtl w:val="0"/>
        </w:rPr>
        <w:t xml:space="preserve">local</w:t>
      </w:r>
      <w:r w:rsidDel="00000000" w:rsidR="00000000" w:rsidRPr="00000000">
        <w:rPr>
          <w:rtl w:val="0"/>
        </w:rPr>
        <w:t xml:space="preserve"> topological structure, meaning that the global distances between disparate clusters in a UMAP projection are generally distorted and meaningless.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macro-level relationships between behavioral cohorts matter, current methodologies increasingly recommend Pairwise Controlled Manifold Approximation and Projection (PaCMAP). PaCMAP dynamically preserves both local and global structures by selectively utilizing Mid-Near Pairs during its initialization phase (often applying Factor Analysis of Mixed Data, or FAMD, for mixed datasets), ensuring that the relative positioning of distant behavioral cohorts remains interpretable without sacrificing local cluster definition.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Density-Based Clustering: HDBSCAN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dimensionality reduction, traditional centroid-based clustering algorithms (like K-means or even Convex K-means) routinely fail. Behavioral manifolds are rarely spherical, convex, or uniformly distributed.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Hierarchical Density-Based Spatial Clustering of Applications with Noise (HDBSCAN) is the universally recommended counterpart to UMAP. HDBSCAN fundamentally redefines clusters as highly dense regions separated by sparse, empty regions. It completely eliminates the need for the researcher to pre-specify the number of clusters (k). More importantly, HDBSCAN performs mathematically rigorous outlier detection, isolating "noise" data points that do not conform to any specific behavioral cohort. By chaining UMAP (to compress the space and emphasize local density) with HDBSCAN (to hierarchically extract the clusters), data scientists can dynamically discover behavioral cohorts without imposing rigid, preconceived taxonomies.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 Type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Application in Behavioral Gap Analysis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Limitation / Trade-off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PCA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orthogonal transformation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initialization for more complex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Cannot capture non-linear behavioral structures.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t-SNE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Minimizes Kullback-Leibler divergence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Exploring local neighborhood structures.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Shatters continuous clusters; lacks reproducibility.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UMAP</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Fuzzy simplicial set cross-entropy</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for reducing latent behavioral embeddings.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Distorts global topology; inter-cluster distances are meaningless.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PaCMAP</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Mid-Near Pair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Preserving both local density and global relationships.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Computationally heavier than UMAP.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HDBSCAN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Density-based hierarchical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Discovering irregularly shaped cohorts and rejecting noise.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sensitive to min[span_113](start_span)[span_113](end_span)_cluster_size parameters.</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Privacy-Preserving Behavioral Analytics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United States, stringent regulatory frameworks (e.g., the California Consumer Privacy Act, emerging state-level privacy mandates) and corporate data governance policies dictate that behavioral gap analysis must be conducted without compromising individual anonymity. Traditional anonymization techniques (e.g., removing PII or data masking) are susceptible to linkage attacks and embedding-inversion. The undisputed mathematical gold standard for privacy is Differential Privacy (DP).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Differential Privacy guarantees that the output of a statistical query or machine learning model does not significantly change whether any single individual's data is included or excluded from the training dataset. Mathematically, a randomized algorithm \mathcal{M} satisfies (\epsilon, \delta)-differential privacy if, for all adjacent datasets D and D' differing by exactly one record (add/drop or replacement adjacency), and all subsets \mathcal{S} of possible outputs: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\text{Pr}[\mathcal{M}(D) \in \mathcal{S}] \le e^\epsilon \text{Pr}[\mathcal{M}(D') \in \mathcal{S}] + \delta</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Implementing DP in Behavioral Clustering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conducting representation learning or semantic clustering on protected cohorts, modern implementations (such as the DP-SPIN pipeline) aggregate behavioral record vectors at the user level. Crucially, they apply strict L_2 norm clipping to bound the maximum influence of any single user (B), and then inject calibrated Gaussian or Laplacian noise before updating model weights or releasing cluster centroids.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dense retrieval embeddings normalize vectors onto a unit sphere. Therefore, researchers instantiate directional metric DP over the nearby angles of the learned representation to substantially reduce property-inference leakage while maintaining spatial utility.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Differential Privacy in Retrieval-Augmented Generation (DP-RAG)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LLMs are increasingly deployed to analyze behavioral feedback via Retrieval-Augmented Generation (RAG), privacy budget exhaustion becomes a severe threat. If an LLM repeatedly queries a private corpus, the cumulative privacy cost (\epsilon) escalates rapidly.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this, cutting-edge frameworks like SparsePay-RAG compress privacy costs across three dimensions:</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Localized Private Retrieval:</w:t>
      </w:r>
      <w:r w:rsidDel="00000000" w:rsidR="00000000" w:rsidRPr="00000000">
        <w:rPr>
          <w:rtl w:val="0"/>
        </w:rPr>
        <w:t xml:space="preserve"> Searching is restricted to pre-defined clusters guided by public topics, shrinking the search scope.</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Adaptive RAG Triggering:</w:t>
      </w:r>
      <w:r w:rsidDel="00000000" w:rsidR="00000000" w:rsidRPr="00000000">
        <w:rPr>
          <w:rtl w:val="0"/>
        </w:rPr>
        <w:t xml:space="preserve"> The system uses Isotonic Cross-Layer Trajectory Fitting to evaluate the confidence of public tokens, triggering private RAG retrieval </w:t>
      </w:r>
      <w:r w:rsidDel="00000000" w:rsidR="00000000" w:rsidRPr="00000000">
        <w:rPr>
          <w:i w:val="1"/>
          <w:iCs w:val="1"/>
          <w:rtl w:val="0"/>
        </w:rPr>
        <w:t xml:space="preserve">only</w:t>
      </w:r>
      <w:r w:rsidDel="00000000" w:rsidR="00000000" w:rsidRPr="00000000">
        <w:rPr>
          <w:rtl w:val="0"/>
        </w:rPr>
        <w:t xml:space="preserve"> when the public knowledge is unreliable.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DP Contrastive Decoding:</w:t>
      </w:r>
      <w:r w:rsidDel="00000000" w:rsidR="00000000" w:rsidRPr="00000000">
        <w:rPr>
          <w:rtl w:val="0"/>
        </w:rPr>
        <w:t xml:space="preserve"> At triggered generation steps, the algorithm uses public logits as a baseline and applies DP protection solely to the private delta, drastically reducing the per-token privacy expenditure.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sophisticated mechanisms allow US organizations to safely cluster behavioral profiles and generate synthetic insights without leaking sensitive micro-data.</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Advanced Visualization Frameworks for the United States Market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highly saturated US enterprise analytics environment, visualizations must elegantly bridge the gap between rigorous statistical output (CausalML, topological clusters) and executive decision-making. Standard Business Intelligence (BI) dashboards relying heavily on pie charts, line graphs, and traditional Venn diagrams systematically fail to capture the high-dimensional overlaps, causal uplift matrices, and non-linear transitions inherent in behavioral gap analysis.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current research and industry practices point to four specific, code-driven visualization frameworks that are considered optimal for this domain.</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Visualizing Categorical Overlaps: UpSet Plots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gap analysis frequently requires segmenting users based on highly overlapping characteristics, such as multi-channel digital interactions, multi-symptom medical profiles, or combinatorial structural barriers. Historically, analysts defaulted to Venn diagrams. However, when the number of overlapping categories exceeds three, Venn diagrams suffer from combinatorial explosion, becoming mathematically inaccurate, visually convoluted, and entirely uninterpretable.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Recommendation: UpSet Plots</w:t>
      </w:r>
      <w:r w:rsidDel="00000000" w:rsidR="00000000" w:rsidRPr="00000000">
        <w:rPr>
          <w:rtl w:val="0"/>
        </w:rPr>
        <w:t xml:space="preserve"> UpSet plots offer a highly scalable, precise alternative for complex overlapping data. Developed specifically to resolve the failures of circular layouts, UpSet plots utilize a clean matrix and dual bar chart layout.</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Matrix View:</w:t>
      </w:r>
      <w:r w:rsidDel="00000000" w:rsidR="00000000" w:rsidRPr="00000000">
        <w:rPr>
          <w:rtl w:val="0"/>
        </w:rPr>
        <w:t xml:space="preserve"> The lower portion of the plot features a grid. Each column represents a unique combination (intersection) of categories. Solid dots connected by vertical lines definitively indicate which categories are active in that specific intersection.</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Bar Charts:</w:t>
      </w:r>
      <w:r w:rsidDel="00000000" w:rsidR="00000000" w:rsidRPr="00000000">
        <w:rPr>
          <w:rtl w:val="0"/>
        </w:rPr>
        <w:t xml:space="preserve"> A horizontal bar chart on the left shows the total marginal size of each individual category. A vertical bar chart above the matrix shows the exact size (cardinality) of each specific intersection.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Implementation in Python:</w:t>
      </w:r>
      <w:r w:rsidDel="00000000" w:rsidR="00000000" w:rsidRPr="00000000">
        <w:rPr>
          <w:rtl w:val="0"/>
        </w:rPr>
        <w:t xml:space="preserve"> The upsetplot library integrates seamlessly with Pandas dataframes. By utilizing helper functions like from_indicators or from_memberships, data scientists can convert Boolean matrices of behavioral flags directly into publication-ready visualizations that explicitly rank the most frequent combinatorial barriers preventing behavioral execution.</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Visualizing Progression and Friction: Sankey Diagrams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visually elucidate the intention-behavior gap—specifically, how a massive pool of motivated individuals is sequentially whittled down to a small cohort of actors—flow visualization is mandatory. The premier tool for this analysis is the Sankey diagram.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Recommendation: Interactive Sankey Diagrams via Plotly</w:t>
      </w:r>
      <w:r w:rsidDel="00000000" w:rsidR="00000000" w:rsidRPr="00000000">
        <w:rPr>
          <w:rtl w:val="0"/>
        </w:rPr>
        <w:t xml:space="preserve"> A Sankey diagram represents directed material, financial, or behavioral flows between states, where the width of the connecting arrows (links) is strictly proportional to the magnitude of the flow. Unlike basic marketing funnel charts, which erroneously assume a linear drop-off, Sankey diagrams excel at mapping complex, multi-level paths, including backward loops, divergent choices, and categorical splits.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Implementation in Python (plotly.graph_objects.Sankey):</w:t>
      </w:r>
      <w:r w:rsidDel="00000000" w:rsidR="00000000" w:rsidRPr="00000000">
        <w:rPr>
          <w:rtl w:val="0"/>
        </w:rPr>
        <w:t xml:space="preserve"> Plotly is the undisputed industry standard for rendering interactive Sankey diagrams in US corporate environments. The architecture relies on strict index-based numerical mapping rather than string matching:</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Nodes:</w:t>
      </w:r>
      <w:r w:rsidDel="00000000" w:rsidR="00000000" w:rsidRPr="00000000">
        <w:rPr>
          <w:rtl w:val="0"/>
        </w:rPr>
        <w:t xml:space="preserve"> A dictionary defining the categorical stages, typically utilizing parameters like pad (to adjust spacing) and thickness (to define node width).</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Links:</w:t>
      </w:r>
      <w:r w:rsidDel="00000000" w:rsidR="00000000" w:rsidRPr="00000000">
        <w:rPr>
          <w:rtl w:val="0"/>
        </w:rPr>
        <w:t xml:space="preserve"> Three parallel numerical arrays—source, target, and value. The source and target arrays use the zero-indexed integer positions from the node list to establish explicit directional connections.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Best practices dictate applying RGBA formatting for link colors to create semi-transparent flows, ensuring that overlapping behaviors remain entirely legible, while utilizing the arrangement='snap' feature to maintain structured vertical alignments across stages.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Visualizing Causal Impact: Qini Curves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CausalML focuses exclusively on estimating unobservable counterfactuals (uplift), standard machine learning evaluation plots (such as ROC-AUC or Precision-Recall curves) are mathematically invalid in this domain. You cannot evaluate predictions against actual individual uplift, because no individual exists in both the treated and untreated state simultaneously.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Recommendation: Qini Curves and Uplift Decile Charts</w:t>
      </w:r>
      <w:r w:rsidDel="00000000" w:rsidR="00000000" w:rsidRPr="00000000">
        <w:rPr>
          <w:rtl w:val="0"/>
        </w:rPr>
        <w:t xml:space="preserve"> The Qini curve is the definitive visual standard for evaluating the efficacy of uplift models. It plots cumulative incremental behavioral gains against the total volume of the targeted population.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Mechanics of the Qini Curve:</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Individuals in a randomized holdout set are ranked in descending order by their predicted uplift score (from highest predicted CATE to lowest).</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model progressively plots the actual, observed difference in conversion rates between the treatment and control groups as you move incrementally down the ranked list.</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baseline (representing arbitrary random targeting) is drawn as a straight diagonal line. The integrated area between the model's curve and this random baseline constitutes the Qini coefficient (or Area Under Uplift Curve - AUUC).</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highly optimized Qini curve rises sharply at first, rapidly capturing the "Persuadables." It will reach a definitive peak—identifying the mathematically optimal targeting threshold—and then flatten out as it traverses the "Sure Things" and "Lost Causes." If the terminal end of the curve slopes downward, the visualization proves the model has reached the "Sleeping Dogs," graphically demonstrating that further intervention will actively destroy ROI.</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Visualizing Latent Behavioral Clusters: Interactive UMAP Scatter Projections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behavioral cohorts are mapped into high-dimensional latent spaces via representation learning, interpreting them requires sophisticated geometric projection.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Recommendation: Interactive Plotly Scatter Plots</w:t>
      </w:r>
      <w:r w:rsidDel="00000000" w:rsidR="00000000" w:rsidRPr="00000000">
        <w:rPr>
          <w:rtl w:val="0"/>
        </w:rPr>
        <w:t xml:space="preserve"> The most effective method to communicate non-linear cohort geometries to non-technical stakeholders is via an interactive 2D or 3D scatter plot rendered in Plotly, with data points vividly colored by their respective HDBSCAN cluster assignments.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Because UMAP and HDBSCAN strip away explicit feature labels during projection, static images are highly ambiguous. By piping the UMAP coordinates into plotly.express.scatter, analysts can leverage Plotly's interactivity. Stakeholders can pan the manifold, zoom into dense micro-clusters, and, crucially, utilize hover tooltips to instantly inspect the semantic text, user demographics, or behavioral metadata associated with a specific data point. This functionality transforms an abstract topological clustering exercise into a highly interpretable, exploratory visual interface where business leaders can manually validate cohort themes and structural anomalies.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statistical analysis of behavioral gaps has evolved far beyond the descriptive limitations of association rule mining and basic predictive classification. To rigorously understand, measure, and mitigate the dissonance between human intention and execution, modern data organizations must adopt a synthesis of causal, topological, and privacy-aware methodologies.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leveraging Causal Machine Learning to isolate true persuadability, utilizing LLM-assisted causal discovery to map the structural barriers of a system, and deploying UMAP/HDBSCAN pipelines to segment complex multimodal behaviors, analysts can extract immense clarity from high-dimensional noise. Crucially, the enforcement of Differential Privacy ensures these powerful techniques remain compliant with modern data governance mandates. Finally, by discarding legacy business intelligence charts in favor of highly specialized frameworks—UpSet plots for combinatorics, Sankey diagrams for friction, Qini curves for causal ROI, and interactive scatter plots for topological exploration—organizations can visualize the intention-behavior gap with unprecedented precision, empowering leaders to deploy interventions that fundamentally alter human outcomes.</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Translating sustainable purchase intention to actual action through, https://www.tandfonline.com/doi/pdf/10.1080/23311975.2025.2583272 2. Bridging the innovative Attitude–Behavior Gap: A dual-level analysis, https://www.researchgate.net/publication/384517607_Bridging_the_innovative_Attitude-Behavior_Gap_A_dual-level_analysis 3. Causal Machine Learning: Moving Beyond Prediction to Real, https://sciencespectrumu.com/causal-machine-learning-moving-beyond-prediction-to-real-decisions-1fe192b8dcda 4. Private Training &amp; Data Generation by Clustering Embeddings - arXiv, https://arxiv.org/html/2506.16661v1 5. Symmetry-Aware Causal-Inference-Driven Web Performance ... - MDPI, https://www.mdpi.com/2073-8994/17/12/2058 6. Leading vs. Lagging Safety Indicators | PDF - Scribd, https://www.scribd.com/document/701328829/Leading-and-lagging-indicator 7. Defining HSE Excellence | PDF | Mergers And Acquisitions - Scribd, https://www.scribd.com/document/374941606/Defining-HSE-Excellence 8. Formalising informal trade: redefining Kenya's micro, small, and, https://www.frontiersin.org/journals/behavioral-economics/articles/10.3389/frbhe.2026.1860727/full 9. primer to frequent itemset mining for bioinformatics - Oxford Academic, https://academic.oup.com/bib/article/16/2/216/245744 10. This is a title - AVE Trends, https://www.avepubs.com/uploads/articles/1788532640-4__ATICL-326-2026.pdf 11. Association Rule - GeeksforGeeks, https://www.geeksforgeeks.org/machine-learning/association-rule/ 12. Dynamic Algorithm for Mining Relevant Association Rules via Meta, https://www.preprints.org/manuscript/202504.1724 13. Athletes' performance and injury management in sports training, https://pmc.ncbi.nlm.nih.gov/articles/PMC13434112/ 14. Uplift Modeling for Incremental Impact - MetricGate, https://metricgate.com/blogs/uplift-modeling-incremental-impact/ 15. Uplift Modeling: Meta-Learners, Uplift Trees, Causal Forests, https://perform.digital/blogs/uplift-modeling-methods/ 16. Product Experimentation with Uplift Modeling: Targeting Your LLM, https://www.freecodecamp.org/news/uplift-modeling-for-personalized-ai-rollouts-in-python/ 17. Uplift Modelling in Python with Meta-learners - LS Analytics, https://ls-analytics.com/causal-ai-in-action-drive-conversions-with-uplift-modeling/ 18. CausalML: Python Package for Causal Machine Learning, https://www.researchgate.net/publication/339526366_CausalML_Python_Package_for_Causal_Machine_Learning 19. GitHub - nutakkiharsha/ml-causal, https://github.com/nutakkiharsha/ml-causal 20. Causal AI: 5 Tools That Reveal Why — Not Just What | by Modexa, https://medium.com/@Modexa/causal-ai-5-tools-that-reveal-why-not-just-what-437ed6be6ec8 21. CausalEval: Towards Better Causal Reasoning in Language Models, https://aclanthology.org/2025.naacl-long.622.pdf 22. CARE: Turning LLMs Into Causal Reasoning Expert - arXiv, https://arxiv.org/html/2511.16016v1 23. Causal Inference Is Eating Machine Learning - Towards Data Science, https://towardsdatascience.com/causal-inference-is-eating-machine-learning/ 24. self-supervised masked consistency and uncertainty-aware fusion, https://academic.oup.com/bioinformatics/article/42/7/btag468/8721561 25. A multi-center otoscopy study with external paired-cohort evaluation, https://journals.plos.org/plosone/article?id=10.1371/journal.pone.0357492 26. Paper Digest: KDD 2024 Papers &amp; Highlights, https://www.paperdigest.org/2024/08/kdd-2024-highlights/ 27. AI and Machine Learning for Proteomics-Driven Drug Discovery - PMC, https://pmc.ncbi.nlm.nih.gov/articles/PMC13204856/ 28. SHORTKIT-ML: A UNIFIED MULTI-PERSPECTIVE FRAMEWORK, https://pmc.ncbi.nlm.nih.gov/articles/PMC13142594/ 29. An explainable fairness-aware AI framework for exam score, https://www.frontiersin.org/journals/artificial-intelligence/articles/10.3389/frai.2026.1824849/full 30. Identification and Visualization of Key Topics in Scientific ... - MDPI, https://www.mdpi.com/2076-3417/12/21/11220 31. BERTopic: A Comprehensive Guide to Modular Topic Modeling, https://datascience.fm/untitled-2/ 32. Mixed Data Clustering Survey and Challenges - arXiv, https://arxiv.org/pdf/2512.03070 33. A human-in-the-loop approach for visual clustering of overlapping, https://pubs.rsc.org/dd/article/3/3/502/804955/A-human-in-the-loop-approach-for-visual-clustering 34. Low-dimensional embeddings of high-dimensional data - arXiv, https://arxiv.org/html/2508.15929v1 35. DANTE: A Reference-Guided Unsupervised Pipeline for Extended, https://arxiv.org/html/2606.25702v3 36. Interactive Document Clustering for Qualitative Data Analysis, https://aclanthology.org/2026.nlp4dh-1.36.pdf 37. Drift Inspector: Exploring and Measuring Scientific Drift with Atomic, https://arxiv.org/html/2609.39710v1 38. Public Data Assisted Differentially Private In-Context Learning - arXiv, https://arxiv.org/pdf/2509.10932 39. A Comprehensive Guide to Differential Privacy: From Theory to User, https://arxiv.org/html/2509.03294v3 40. CLUSTERING IMPROVES DIFFERENTIALLY PRIVATE INFERENCE, https://openreview.net/pdf?id=e4B8QJfZnW 41. On-Demand Privacy Budget Payment for Differentially Private RAG, https://arxiv.org/html/2609.27406v1 42. Differentially Private Semantic Plans for Aggregate Insight Generation, https://arxiv.org/html/2609.16283v1 43. Practical Private Dense Retrieval at Scale - arXiv, https://arxiv.org/html/2608.25735v1 44. Upset Plots: Scalable Visualization for Overlapping Data, https://www.perceptive-analytics.com/upset-plots-scalable-visualization-for-overlapping-data/ 45. Sankey Plot Guide: Flow Diagrams May 2026 - Reflex, https://reflex.dev/blog/sankey-graph-sankey-plot-guide/ 46. python - UpSetPlot from actual sets - Stack Overflow, https://stackoverflow.com/questions/65960749/upsetplot-from-actual-sets 47. mdbabumiamssm/LLMs-Universal-Life-Science-and-Clinical-Skills, https://github.com/mdbabumiamssm/LLMs-Universal-Life-Science-and-Clinical-Skills- 48. Toward a standardized framework for pangenome graph evaluation, https://academic.oup.com/gigascience/article/doi/10.1093/gigascience/giaf121/8364989 49. Add labels to upset plot, so the values of intersection would be, https://stackoverflow.com/questions/75990226/add-labels-to-upset-plot-so-the-values-of-intersection-would-be-visible-along-t 50. generating upset plot with personalized features - Stack Overflow, https://stackoverflow.com/questions/79919835/generating-upset-plot-with-personalized-features 51. NIF | Searching in Community Resources, https://odc-stroke.charite.de/neuinfo/data/source/nlx_144509-1/search?q=%2A&amp;l=&amp;facet[]=Keywords%3Aauthoring&amp;facet[]=Keywords%3Apython&amp;facet[]=Resource%20Type%3Adata%20visualization%20software 52. Upset plot python list row names - Stack Overflow, https://stackoverflow.com/questions/75980420/upset-plot-python-list-row-names 53. Sankey Diagram Python | Plotly Tutorial + Free Online ... - Plotivy, https://plotivy.app/charts/sankey-diagram 54. Sankey diagram in Python - Plotly, https://plotly.com/python/sankey-diagram/ 55. Understanding Plotly Sankey Diagrams | by Tom Welsh - Medium, https://medium.com/@twelsh37/understanding-plotly-sankey-charting-3ee263a81549 56. Python:Plotly | graph_objects | .Sankey() - Codecademy, https://www.codecademy.com/resources/docs/plotly/graph-objects/sankey 57. Evaluation Methods and Measures for Causal Learning Algorithms, https://www.computer.org/csdl/journal/ai/2022/06/09709543/1ASFqvmAcec 58. scikit-uplift - PyPI, https://pypi.org/project/scikit-uplift/ 59. Decoding Nonlinear Signals in Large Observational Datasets, https://towardsdatascience.com/decoding-nonlinear-signals-in-large-observational-datasets/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