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4DD44" w14:textId="77777777" w:rsidR="00FD16BF" w:rsidRPr="00FD16BF" w:rsidRDefault="00FD16BF" w:rsidP="00FD16BF">
      <w:pPr>
        <w:spacing w:after="0"/>
        <w:rPr>
          <w:rFonts w:eastAsia="Times New Roman"/>
          <w:b/>
          <w:bCs/>
        </w:rPr>
      </w:pPr>
      <w:r w:rsidRPr="00FD16BF">
        <w:rPr>
          <w:rFonts w:eastAsia="Times New Roman"/>
          <w:b/>
          <w:bCs/>
        </w:rPr>
        <w:t xml:space="preserve">Reviewer #1: </w:t>
      </w:r>
    </w:p>
    <w:p w14:paraId="51C227A8" w14:textId="39E23ECC" w:rsidR="000B79D0" w:rsidRDefault="00FD16BF" w:rsidP="00FD16BF">
      <w:pPr>
        <w:spacing w:after="0"/>
        <w:rPr>
          <w:rFonts w:eastAsia="Times New Roman"/>
        </w:rPr>
      </w:pPr>
      <w:r>
        <w:rPr>
          <w:rFonts w:eastAsia="Times New Roman"/>
        </w:rPr>
        <w:t xml:space="preserve">The authors carefully addressed my comments in this revised version of their manuscript. The revisions provide clarifications that I think will help the overall understanding of the manuscript and its scope (e.g. L101, L250, Fig.1). The recommendations have been clarified. The authors highlight the different lacks of coverage and consensus in studies on temporal trends, provide guidelines to better describe the temporal features of the studies on trends, and present them as a first critical step for further analyses on the temporal scaling of biodiversity trends (L319-332). Figure 1 is now much clearer. </w:t>
      </w:r>
    </w:p>
    <w:p w14:paraId="4F58AAD6" w14:textId="77777777" w:rsidR="009A34AC" w:rsidRDefault="009A34AC" w:rsidP="009A34AC">
      <w:pPr>
        <w:spacing w:after="0"/>
        <w:ind w:firstLine="720"/>
        <w:rPr>
          <w:rFonts w:eastAsia="Times New Roman"/>
        </w:rPr>
      </w:pPr>
      <w:r>
        <w:rPr>
          <w:rFonts w:eastAsia="Times New Roman"/>
          <w:color w:val="0070C0"/>
        </w:rPr>
        <w:t>&gt;&gt;&gt; Thank you.</w:t>
      </w:r>
    </w:p>
    <w:p w14:paraId="3FF85458" w14:textId="77777777" w:rsidR="000B79D0" w:rsidRDefault="000B79D0" w:rsidP="00FD16BF">
      <w:pPr>
        <w:spacing w:after="0"/>
        <w:rPr>
          <w:rFonts w:eastAsia="Times New Roman"/>
        </w:rPr>
      </w:pPr>
    </w:p>
    <w:p w14:paraId="41743CBC" w14:textId="20783E3C" w:rsidR="000B79D0" w:rsidRDefault="00FD16BF" w:rsidP="00FD16BF">
      <w:pPr>
        <w:spacing w:after="0"/>
        <w:rPr>
          <w:rFonts w:eastAsia="Times New Roman"/>
        </w:rPr>
      </w:pPr>
      <w:r w:rsidRPr="00457268">
        <w:rPr>
          <w:rFonts w:eastAsia="Times New Roman"/>
        </w:rPr>
        <w:t>I also read the responses to Reviewer #2, and I wonder whether the interesting discussions raised from several comments on the interpretation of the direction of the temporal trends could also be shared with the readers, maybe by reorganizing the discussion a bit to highlight this point.</w:t>
      </w:r>
      <w:r>
        <w:rPr>
          <w:rFonts w:eastAsia="Times New Roman"/>
        </w:rPr>
        <w:t xml:space="preserve"> I have no more major comments on this manuscript.</w:t>
      </w:r>
    </w:p>
    <w:p w14:paraId="26280555" w14:textId="77777777" w:rsidR="00ED5C61" w:rsidRDefault="000B79D0" w:rsidP="000B79D0">
      <w:pPr>
        <w:spacing w:after="0"/>
        <w:ind w:left="720"/>
        <w:rPr>
          <w:rFonts w:eastAsia="Times New Roman"/>
          <w:color w:val="0070C0"/>
        </w:rPr>
      </w:pPr>
      <w:r w:rsidRPr="000B79D0">
        <w:rPr>
          <w:rFonts w:eastAsia="Times New Roman"/>
          <w:color w:val="0070C0"/>
        </w:rPr>
        <w:t xml:space="preserve">&gt;&gt;&gt; </w:t>
      </w:r>
      <w:r w:rsidR="00ED5C61">
        <w:rPr>
          <w:rFonts w:eastAsia="Times New Roman"/>
          <w:color w:val="0070C0"/>
        </w:rPr>
        <w:t xml:space="preserve">Good point. From the several comments, the two that we find worth mentioning are those related to different trends in different metrics and to </w:t>
      </w:r>
      <w:r w:rsidR="00ED5C61" w:rsidRPr="0079450B">
        <w:rPr>
          <w:rFonts w:eastAsia="Times New Roman"/>
          <w:color w:val="0070C0"/>
          <w:highlight w:val="yellow"/>
        </w:rPr>
        <w:t>YYY</w:t>
      </w:r>
      <w:r w:rsidR="00ED5C61">
        <w:rPr>
          <w:rFonts w:eastAsia="Times New Roman"/>
          <w:color w:val="0070C0"/>
        </w:rPr>
        <w:t xml:space="preserve">. </w:t>
      </w:r>
    </w:p>
    <w:p w14:paraId="54FC258D" w14:textId="0609199B" w:rsidR="000B79D0" w:rsidRPr="000B79D0" w:rsidRDefault="000B79D0" w:rsidP="000B79D0">
      <w:pPr>
        <w:spacing w:after="0"/>
        <w:ind w:left="720"/>
        <w:rPr>
          <w:rFonts w:eastAsia="Times New Roman"/>
          <w:color w:val="0070C0"/>
        </w:rPr>
      </w:pPr>
      <w:r w:rsidRPr="000B79D0">
        <w:rPr>
          <w:rFonts w:eastAsia="Times New Roman"/>
          <w:color w:val="0070C0"/>
        </w:rPr>
        <w:t xml:space="preserve">Concerning the interpretation of the temporal trend according to the metric, we now clearly specify the warning </w:t>
      </w:r>
      <w:r w:rsidR="00FA1334">
        <w:rPr>
          <w:rFonts w:eastAsia="Times New Roman"/>
          <w:color w:val="0070C0"/>
        </w:rPr>
        <w:t>L222</w:t>
      </w:r>
      <w:r w:rsidRPr="000B79D0">
        <w:rPr>
          <w:rFonts w:eastAsia="Times New Roman"/>
          <w:color w:val="0070C0"/>
        </w:rPr>
        <w:t xml:space="preserve"> as follow:</w:t>
      </w:r>
    </w:p>
    <w:p w14:paraId="17E51766" w14:textId="77777777" w:rsidR="000B79D0" w:rsidRDefault="000B79D0" w:rsidP="000B79D0">
      <w:pPr>
        <w:spacing w:after="0"/>
        <w:ind w:firstLine="720"/>
        <w:rPr>
          <w:rFonts w:eastAsia="Times New Roman"/>
        </w:rPr>
      </w:pPr>
    </w:p>
    <w:p w14:paraId="685D862A" w14:textId="77777777" w:rsidR="00ED5C61" w:rsidRDefault="00ED5C61" w:rsidP="00ED5C61">
      <w:pPr>
        <w:spacing w:after="0"/>
        <w:ind w:left="1440"/>
        <w:rPr>
          <w:rFonts w:eastAsia="Times New Roman"/>
          <w:color w:val="0070C0"/>
        </w:rPr>
      </w:pPr>
      <w:bookmarkStart w:id="0" w:name="_Hlk128063224"/>
      <w:r w:rsidRPr="000B79D0">
        <w:rPr>
          <w:rFonts w:eastAsia="Times New Roman"/>
          <w:i/>
          <w:iCs/>
          <w:color w:val="0070C0"/>
        </w:rPr>
        <w:t>“</w:t>
      </w:r>
      <w:r w:rsidRPr="000B79D0">
        <w:rPr>
          <w:i/>
          <w:iCs/>
          <w:color w:val="0070C0"/>
        </w:rPr>
        <w:t xml:space="preserve">We </w:t>
      </w:r>
      <w:r>
        <w:rPr>
          <w:i/>
          <w:iCs/>
          <w:color w:val="0070C0"/>
        </w:rPr>
        <w:t>caution</w:t>
      </w:r>
      <w:r w:rsidRPr="000B79D0">
        <w:rPr>
          <w:i/>
          <w:iCs/>
          <w:color w:val="0070C0"/>
        </w:rPr>
        <w:t xml:space="preserve"> that the direction of a trend has different meaning according to the metric considered (e.g. an increase of species richness does not bear the same meaning than an increase of spatial beta-diversity).</w:t>
      </w:r>
      <w:r w:rsidRPr="000B79D0">
        <w:rPr>
          <w:rFonts w:eastAsia="Times New Roman"/>
          <w:i/>
          <w:iCs/>
          <w:color w:val="0070C0"/>
        </w:rPr>
        <w:t>”</w:t>
      </w:r>
    </w:p>
    <w:bookmarkEnd w:id="0"/>
    <w:p w14:paraId="4029F464" w14:textId="77777777" w:rsidR="00ED5C61" w:rsidRDefault="00ED5C61" w:rsidP="004F0989">
      <w:pPr>
        <w:spacing w:after="0"/>
        <w:rPr>
          <w:rFonts w:eastAsia="Times New Roman"/>
          <w:color w:val="0070C0"/>
        </w:rPr>
      </w:pPr>
    </w:p>
    <w:p w14:paraId="7D28085B" w14:textId="77777777" w:rsidR="00ED5C61" w:rsidRDefault="00ED5C61" w:rsidP="004F0989">
      <w:pPr>
        <w:spacing w:after="0"/>
        <w:rPr>
          <w:rFonts w:eastAsia="Times New Roman"/>
          <w:color w:val="0070C0"/>
        </w:rPr>
      </w:pPr>
    </w:p>
    <w:p w14:paraId="7860E59D" w14:textId="249181A9" w:rsidR="001A0A19" w:rsidRPr="00ED5C61" w:rsidRDefault="00FD16BF" w:rsidP="004F0989">
      <w:pPr>
        <w:spacing w:after="0"/>
        <w:rPr>
          <w:rFonts w:eastAsia="Times New Roman"/>
          <w:i/>
          <w:iCs/>
          <w:color w:val="0070C0"/>
        </w:rPr>
      </w:pPr>
      <w:r>
        <w:rPr>
          <w:rFonts w:eastAsia="Times New Roman"/>
        </w:rPr>
        <w:br/>
        <w:t>Line-by-line comments:</w:t>
      </w:r>
      <w:r>
        <w:rPr>
          <w:rFonts w:eastAsia="Times New Roman"/>
        </w:rPr>
        <w:br/>
      </w:r>
      <w:r>
        <w:rPr>
          <w:rFonts w:eastAsia="Times New Roman"/>
        </w:rPr>
        <w:br/>
        <w:t>L314 Fig 1D</w:t>
      </w:r>
    </w:p>
    <w:p w14:paraId="12E152F6" w14:textId="6FC58F4E" w:rsidR="001A0A19" w:rsidRDefault="00ED5C61" w:rsidP="001A0A19">
      <w:pPr>
        <w:spacing w:after="0"/>
        <w:ind w:firstLine="720"/>
        <w:rPr>
          <w:rFonts w:eastAsia="Times New Roman"/>
        </w:rPr>
      </w:pPr>
      <w:r>
        <w:rPr>
          <w:rFonts w:eastAsia="Times New Roman"/>
          <w:color w:val="0070C0"/>
        </w:rPr>
        <w:t xml:space="preserve">&gt;&gt;&gt; </w:t>
      </w:r>
      <w:r w:rsidR="001A0A19" w:rsidRPr="001A0A19">
        <w:rPr>
          <w:rFonts w:eastAsia="Times New Roman"/>
          <w:color w:val="0070C0"/>
        </w:rPr>
        <w:t>Done</w:t>
      </w:r>
      <w:r w:rsidR="007F3207">
        <w:rPr>
          <w:rFonts w:eastAsia="Times New Roman"/>
          <w:color w:val="0070C0"/>
        </w:rPr>
        <w:t>.</w:t>
      </w:r>
      <w:r w:rsidR="00FD16BF">
        <w:rPr>
          <w:rFonts w:eastAsia="Times New Roman"/>
        </w:rPr>
        <w:br/>
      </w:r>
      <w:r w:rsidR="00FD16BF">
        <w:rPr>
          <w:rFonts w:eastAsia="Times New Roman"/>
        </w:rPr>
        <w:br/>
        <w:t>L326: I am not sure to see the difference between point 5 and point 7. Point 5 sounds redundant to me as another temporal feature you did not define. Are the temporal extent and temporal lag not sufficient to describe the clustering between the points? For instance, in Figure 1, I would say that the temporal lag in 2000 is equal to x and the temporal extent to 3 x, which gives an idea of the points spread. In 2010, the temporal lag would take two different values: one short interval between the first two points and one longer between the last two, which indicates that some points are more clustered in time.</w:t>
      </w:r>
    </w:p>
    <w:p w14:paraId="6C161934" w14:textId="5AE5B27C" w:rsidR="00995AF8" w:rsidRDefault="00362100" w:rsidP="00995AF8">
      <w:pPr>
        <w:spacing w:after="0"/>
        <w:ind w:left="720"/>
        <w:rPr>
          <w:rFonts w:eastAsia="Times New Roman"/>
          <w:color w:val="0070C0"/>
        </w:rPr>
      </w:pPr>
      <w:r w:rsidRPr="00362100">
        <w:rPr>
          <w:rFonts w:eastAsia="Times New Roman"/>
          <w:color w:val="0070C0"/>
        </w:rPr>
        <w:t xml:space="preserve">&gt;&gt;&gt; We now specify in the revised text (lines </w:t>
      </w:r>
      <w:r w:rsidRPr="00684F00">
        <w:rPr>
          <w:rFonts w:eastAsia="Times New Roman"/>
          <w:color w:val="0070C0"/>
          <w:highlight w:val="yellow"/>
        </w:rPr>
        <w:t>XXX</w:t>
      </w:r>
      <w:r w:rsidRPr="00362100">
        <w:rPr>
          <w:rFonts w:eastAsia="Times New Roman"/>
          <w:color w:val="0070C0"/>
        </w:rPr>
        <w:t>) that by “lag” we mean the average distance between samples. This definition allows for the duration of the temporal interval to vary, and this also applies to spatial and temporal grain, which is the average area of sites or average duration of sampling events respectively. We now explicitly state this in the introduction:</w:t>
      </w:r>
    </w:p>
    <w:p w14:paraId="38FD2879" w14:textId="77777777" w:rsidR="00362100" w:rsidRDefault="00362100" w:rsidP="00995AF8">
      <w:pPr>
        <w:spacing w:after="0"/>
        <w:ind w:left="720"/>
        <w:rPr>
          <w:rFonts w:eastAsia="Times New Roman"/>
          <w:i/>
          <w:iCs/>
          <w:color w:val="0070C0"/>
        </w:rPr>
      </w:pPr>
    </w:p>
    <w:p w14:paraId="6EE77E89" w14:textId="4F207183" w:rsidR="00995AF8" w:rsidRDefault="00F17ABB" w:rsidP="0046572C">
      <w:pPr>
        <w:spacing w:after="0"/>
        <w:ind w:left="1440"/>
        <w:rPr>
          <w:rFonts w:eastAsia="Times New Roman"/>
        </w:rPr>
      </w:pPr>
      <w:r w:rsidRPr="00F17ABB">
        <w:rPr>
          <w:rFonts w:eastAsia="Times New Roman"/>
          <w:i/>
          <w:iCs/>
          <w:color w:val="0070C0"/>
        </w:rPr>
        <w:t>“</w:t>
      </w:r>
      <w:r w:rsidR="0046584C" w:rsidRPr="0046584C">
        <w:rPr>
          <w:rFonts w:eastAsia="Times New Roman"/>
          <w:i/>
          <w:iCs/>
          <w:color w:val="0070C0"/>
        </w:rPr>
        <w:t xml:space="preserve">Another aspect of scale is temporal or spatial lag, which refers to average spatial or temporal distance between sampling sites or events respectively. The term average is important here: we only get to grain by averaging area across multiple sites, or averaging durations across multiple events. This means that grain can be defined even </w:t>
      </w:r>
      <w:r w:rsidR="0046584C" w:rsidRPr="0046584C">
        <w:rPr>
          <w:rFonts w:eastAsia="Times New Roman"/>
          <w:i/>
          <w:iCs/>
          <w:color w:val="0070C0"/>
        </w:rPr>
        <w:lastRenderedPageBreak/>
        <w:t>when area of sites or duration of events varies, and lag can be defined even when distance varies.</w:t>
      </w:r>
      <w:r w:rsidRPr="00F17ABB">
        <w:rPr>
          <w:rFonts w:eastAsia="Times New Roman"/>
          <w:i/>
          <w:iCs/>
          <w:color w:val="0070C0"/>
        </w:rPr>
        <w:t>”</w:t>
      </w:r>
    </w:p>
    <w:p w14:paraId="6EF87234" w14:textId="77777777" w:rsidR="00995AF8" w:rsidRDefault="00995AF8" w:rsidP="00995AF8">
      <w:pPr>
        <w:spacing w:after="0"/>
        <w:rPr>
          <w:rFonts w:eastAsia="Times New Roman"/>
        </w:rPr>
      </w:pPr>
    </w:p>
    <w:p w14:paraId="435EAB76" w14:textId="77777777" w:rsidR="002E6C48" w:rsidRDefault="00FD16BF" w:rsidP="00995AF8">
      <w:pPr>
        <w:spacing w:after="0"/>
        <w:rPr>
          <w:rFonts w:eastAsia="Times New Roman"/>
        </w:rPr>
      </w:pPr>
      <w:r>
        <w:rPr>
          <w:rFonts w:eastAsia="Times New Roman"/>
        </w:rPr>
        <w:t>L369 I think only 11 articles are presented for Europe in Figure 2.</w:t>
      </w:r>
    </w:p>
    <w:p w14:paraId="4D3B9647" w14:textId="46B2A8D5" w:rsidR="00F959C4" w:rsidRDefault="002E6C48" w:rsidP="002E6C48">
      <w:pPr>
        <w:spacing w:after="0"/>
        <w:ind w:firstLine="720"/>
        <w:rPr>
          <w:rFonts w:eastAsia="Times New Roman"/>
        </w:rPr>
      </w:pPr>
      <w:r w:rsidRPr="002E6C48">
        <w:rPr>
          <w:rFonts w:eastAsia="Times New Roman"/>
          <w:color w:val="0070C0"/>
        </w:rPr>
        <w:t>&gt;&gt;&gt; Correct</w:t>
      </w:r>
      <w:r w:rsidR="00557D81">
        <w:rPr>
          <w:rFonts w:eastAsia="Times New Roman"/>
          <w:color w:val="0070C0"/>
        </w:rPr>
        <w:t>ed.</w:t>
      </w:r>
      <w:r w:rsidR="00FD16BF">
        <w:rPr>
          <w:rFonts w:eastAsia="Times New Roman"/>
        </w:rPr>
        <w:br/>
      </w:r>
      <w:r w:rsidR="00FD16BF">
        <w:rPr>
          <w:rFonts w:eastAsia="Times New Roman"/>
        </w:rPr>
        <w:br/>
        <w:t>Table 1: Consider adding the reference for the examples, as done for Faith's PD.</w:t>
      </w:r>
    </w:p>
    <w:p w14:paraId="5F6FF9EA" w14:textId="77ACD014" w:rsidR="00342487" w:rsidRDefault="00F959C4" w:rsidP="002E6C48">
      <w:pPr>
        <w:spacing w:after="0"/>
        <w:ind w:firstLine="720"/>
        <w:rPr>
          <w:rFonts w:eastAsia="Times New Roman"/>
        </w:rPr>
      </w:pPr>
      <w:r w:rsidRPr="00F959C4">
        <w:rPr>
          <w:rFonts w:eastAsia="Times New Roman"/>
          <w:color w:val="0070C0"/>
        </w:rPr>
        <w:t>&gt;&gt;&gt; Done</w:t>
      </w:r>
      <w:r w:rsidR="00F1402B">
        <w:rPr>
          <w:rFonts w:eastAsia="Times New Roman"/>
          <w:color w:val="0070C0"/>
        </w:rPr>
        <w:t>.</w:t>
      </w:r>
      <w:r w:rsidR="00FD16BF">
        <w:rPr>
          <w:rFonts w:eastAsia="Times New Roman"/>
        </w:rPr>
        <w:br/>
      </w:r>
      <w:r w:rsidR="00FD16BF">
        <w:rPr>
          <w:rFonts w:eastAsia="Times New Roman"/>
        </w:rPr>
        <w:br/>
        <w:t>Table 2: To be consistent with Figure 1, the legend could specify that the temporal features described in the table refer to the analysis conducted.</w:t>
      </w:r>
    </w:p>
    <w:p w14:paraId="0D66AE11" w14:textId="5498CF38" w:rsidR="004A2580" w:rsidRDefault="00342487" w:rsidP="004A2580">
      <w:pPr>
        <w:spacing w:after="0"/>
        <w:ind w:firstLine="720"/>
        <w:rPr>
          <w:rFonts w:eastAsia="Times New Roman"/>
          <w:i/>
          <w:iCs/>
          <w:color w:val="0070C0"/>
        </w:rPr>
      </w:pPr>
      <w:r w:rsidRPr="00A8187D">
        <w:rPr>
          <w:rFonts w:eastAsia="Times New Roman"/>
          <w:color w:val="0070C0"/>
        </w:rPr>
        <w:t>&gt;&gt;&gt; Added</w:t>
      </w:r>
      <w:r w:rsidR="00FD16BF">
        <w:rPr>
          <w:rFonts w:eastAsia="Times New Roman"/>
        </w:rPr>
        <w:br/>
      </w:r>
      <w:r w:rsidR="00FD16BF">
        <w:rPr>
          <w:rFonts w:eastAsia="Times New Roman"/>
        </w:rPr>
        <w:br/>
        <w:t>Figure 2: By reading your argument about the differences in coverage between the northern and southern hemispheres again, I think that perhaps figure 2 does not capture this result well. Maybe the message would get across better if the figure displayed a half-empty world map, but I understand it's not very convenient.</w:t>
      </w:r>
    </w:p>
    <w:p w14:paraId="5D4D8D09" w14:textId="282380D2" w:rsidR="00A77774" w:rsidRDefault="004A2580" w:rsidP="004A2580">
      <w:pPr>
        <w:spacing w:after="0"/>
        <w:ind w:left="720"/>
        <w:rPr>
          <w:rFonts w:eastAsia="Times New Roman"/>
          <w:color w:val="0070C0"/>
        </w:rPr>
      </w:pPr>
      <w:r>
        <w:rPr>
          <w:rFonts w:eastAsia="Times New Roman"/>
          <w:color w:val="0070C0"/>
        </w:rPr>
        <w:t xml:space="preserve">&gt;&gt;&gt; We do agree that it would represent better the lack of spatial coverage. However, it would make the display and reading of the references inconvenient. </w:t>
      </w:r>
      <w:r w:rsidR="00D125F8">
        <w:rPr>
          <w:rFonts w:eastAsia="Times New Roman"/>
          <w:color w:val="0070C0"/>
        </w:rPr>
        <w:t>Thus,</w:t>
      </w:r>
      <w:r>
        <w:rPr>
          <w:rFonts w:eastAsia="Times New Roman"/>
          <w:color w:val="0070C0"/>
        </w:rPr>
        <w:t xml:space="preserve"> we prefer to keep the maps as they are.</w:t>
      </w:r>
    </w:p>
    <w:p w14:paraId="2C60884E" w14:textId="0E59DDA6" w:rsidR="00316D4A" w:rsidRDefault="00316D4A" w:rsidP="00316D4A">
      <w:pPr>
        <w:spacing w:after="0"/>
        <w:rPr>
          <w:rFonts w:eastAsia="Times New Roman"/>
          <w:color w:val="0070C0"/>
        </w:rPr>
      </w:pPr>
    </w:p>
    <w:p w14:paraId="45427263" w14:textId="1F03301D" w:rsidR="00316D4A" w:rsidRPr="00316D4A" w:rsidRDefault="00316D4A" w:rsidP="00316D4A">
      <w:pPr>
        <w:spacing w:after="0"/>
        <w:rPr>
          <w:rFonts w:eastAsia="Times New Roman"/>
          <w:b/>
          <w:bCs/>
        </w:rPr>
      </w:pPr>
      <w:r w:rsidRPr="00316D4A">
        <w:rPr>
          <w:rFonts w:eastAsia="Times New Roman"/>
          <w:b/>
          <w:bCs/>
        </w:rPr>
        <w:t>Reviewer #2</w:t>
      </w:r>
      <w:r>
        <w:rPr>
          <w:rFonts w:eastAsia="Times New Roman"/>
          <w:b/>
          <w:bCs/>
        </w:rPr>
        <w:t>:</w:t>
      </w:r>
    </w:p>
    <w:p w14:paraId="71DE696D" w14:textId="77777777" w:rsidR="00E0563D" w:rsidRDefault="00316D4A" w:rsidP="00316D4A">
      <w:pPr>
        <w:spacing w:after="0"/>
        <w:rPr>
          <w:rFonts w:eastAsia="Times New Roman"/>
        </w:rPr>
      </w:pPr>
      <w:r>
        <w:rPr>
          <w:rFonts w:eastAsia="Times New Roman"/>
        </w:rPr>
        <w:t>The paper is much improved. The additional recommendations/guidelines provided are also very appreciable.</w:t>
      </w:r>
      <w:r>
        <w:rPr>
          <w:rFonts w:eastAsia="Times New Roman"/>
        </w:rPr>
        <w:br/>
        <w:t>I think this paper would be useful and is timely considering the current increase in temporal analysis of biodiversity.</w:t>
      </w:r>
      <w:r>
        <w:rPr>
          <w:rFonts w:eastAsia="Times New Roman"/>
        </w:rPr>
        <w:br/>
      </w:r>
      <w:r>
        <w:rPr>
          <w:rFonts w:eastAsia="Times New Roman"/>
        </w:rPr>
        <w:br/>
        <w:t>There is still one missing element. It's easy to include and would change significantly the clarity and novelty of the contribution:</w:t>
      </w:r>
      <w:r>
        <w:rPr>
          <w:rFonts w:eastAsia="Times New Roman"/>
        </w:rPr>
        <w:br/>
        <w:t>In the introduction, either for spatial but even more for temporal scales (grain and extent), the authors should provide an example of process that could explain an observed discrepancy among biodiversity trends calculated at different scales. I mean why is it possible and expected at the first place that biodiversity can have a different trend when measured at local vs regional scale? No need to be exhaustive about those processes, but this would help considerably the reader to understand what this review is supposed to capture. What are the fundamental reasons to check that temporal trends are affected by the temporal extent? What could cause this dependancy? If not specified, the proposed analysis is somewhat unjustified.</w:t>
      </w:r>
    </w:p>
    <w:p w14:paraId="7F0796AE" w14:textId="0FABF0D0" w:rsidR="00E25CDA" w:rsidRDefault="00E0563D" w:rsidP="00E25CDA">
      <w:pPr>
        <w:spacing w:after="0"/>
        <w:ind w:left="720"/>
        <w:rPr>
          <w:rFonts w:eastAsia="Times New Roman"/>
          <w:color w:val="0070C0"/>
          <w:lang w:val="en-GB"/>
        </w:rPr>
      </w:pPr>
      <w:r w:rsidRPr="00E25CDA">
        <w:rPr>
          <w:rFonts w:eastAsia="Times New Roman"/>
          <w:color w:val="0070C0"/>
          <w:lang w:val="en-GB"/>
        </w:rPr>
        <w:t xml:space="preserve">&gt;&gt;&gt; </w:t>
      </w:r>
      <w:r w:rsidR="00F07BEE">
        <w:rPr>
          <w:rFonts w:eastAsia="Times New Roman"/>
          <w:color w:val="0070C0"/>
          <w:lang w:val="en-GB"/>
        </w:rPr>
        <w:t xml:space="preserve">This is a very good point. </w:t>
      </w:r>
      <w:r w:rsidR="00703CC4" w:rsidRPr="00E25CDA">
        <w:rPr>
          <w:rFonts w:eastAsia="Times New Roman"/>
          <w:color w:val="0070C0"/>
          <w:lang w:val="en-GB"/>
        </w:rPr>
        <w:t xml:space="preserve">The ecological reasons of the spatio-temporal scaling of biodiversity dynamic are </w:t>
      </w:r>
      <w:r w:rsidR="00F8256E">
        <w:rPr>
          <w:rFonts w:eastAsia="Times New Roman"/>
          <w:color w:val="0070C0"/>
          <w:lang w:val="en-GB"/>
        </w:rPr>
        <w:t xml:space="preserve">part of a still ongoing debate </w:t>
      </w:r>
      <w:r w:rsidR="00703CC4" w:rsidRPr="00E25CDA">
        <w:rPr>
          <w:rFonts w:eastAsia="Times New Roman"/>
          <w:color w:val="0070C0"/>
          <w:lang w:val="en-GB"/>
        </w:rPr>
        <w:t xml:space="preserve">in the literature. </w:t>
      </w:r>
      <w:r w:rsidR="00E25CDA">
        <w:rPr>
          <w:rFonts w:eastAsia="Times New Roman"/>
          <w:color w:val="0070C0"/>
          <w:lang w:val="en-GB"/>
        </w:rPr>
        <w:t>W</w:t>
      </w:r>
      <w:r w:rsidR="00703CC4" w:rsidRPr="00E25CDA">
        <w:rPr>
          <w:rFonts w:eastAsia="Times New Roman"/>
          <w:color w:val="0070C0"/>
          <w:lang w:val="en-GB"/>
        </w:rPr>
        <w:t>e cite</w:t>
      </w:r>
      <w:r w:rsidR="00E25CDA">
        <w:rPr>
          <w:rFonts w:eastAsia="Times New Roman"/>
          <w:color w:val="0070C0"/>
          <w:lang w:val="en-GB"/>
        </w:rPr>
        <w:t xml:space="preserve"> here</w:t>
      </w:r>
      <w:r w:rsidR="00703CC4" w:rsidRPr="00E25CDA">
        <w:rPr>
          <w:rFonts w:eastAsia="Times New Roman"/>
          <w:color w:val="0070C0"/>
          <w:lang w:val="en-GB"/>
        </w:rPr>
        <w:t xml:space="preserve"> the </w:t>
      </w:r>
      <w:r w:rsidR="00974B85">
        <w:rPr>
          <w:rFonts w:eastAsia="Times New Roman"/>
          <w:color w:val="0070C0"/>
          <w:lang w:val="en-GB"/>
        </w:rPr>
        <w:t>studies</w:t>
      </w:r>
      <w:r w:rsidR="00F8256E">
        <w:rPr>
          <w:rFonts w:eastAsia="Times New Roman"/>
          <w:color w:val="0070C0"/>
          <w:lang w:val="en-GB"/>
        </w:rPr>
        <w:t xml:space="preserve"> focusing on this topic </w:t>
      </w:r>
      <w:r w:rsidR="00974B85">
        <w:rPr>
          <w:rFonts w:eastAsia="Times New Roman"/>
          <w:color w:val="0070C0"/>
          <w:lang w:val="en-GB"/>
        </w:rPr>
        <w:t>that we know of</w:t>
      </w:r>
      <w:r w:rsidR="00703CC4" w:rsidRPr="00E25CDA">
        <w:rPr>
          <w:rFonts w:eastAsia="Times New Roman"/>
          <w:color w:val="0070C0"/>
          <w:lang w:val="en-GB"/>
        </w:rPr>
        <w:t xml:space="preserve">: </w:t>
      </w:r>
      <w:r w:rsidR="00703CC4" w:rsidRPr="00E25CDA">
        <w:rPr>
          <w:rFonts w:eastAsia="Times New Roman"/>
          <w:color w:val="0070C0"/>
          <w:lang w:val="en-GB"/>
        </w:rPr>
        <w:fldChar w:fldCharType="begin"/>
      </w:r>
      <w:r w:rsidR="0004447D">
        <w:rPr>
          <w:rFonts w:eastAsia="Times New Roman"/>
          <w:color w:val="0070C0"/>
          <w:lang w:val="en-GB"/>
        </w:rPr>
        <w:instrText xml:space="preserve"> ADDIN ZOTERO_ITEM CSL_CITATION {"citationID":"90F6VJ1n","properties":{"formattedCitation":"(Chase et al., 2019; Jarzyna et al., 2015; Jarzyna &amp; Jetz, 2018; Keil et al., 2018)","plainCitation":"(Chase et al., 2019; Jarzyna et al., 2015; Jarzyna &amp; Jetz, 2018; Keil et al., 2018)","dontUpdate":true,"noteIndex":0},"citationItems":[{"id":12,"uris":["http://zotero.org/users/6714553/items/K8LRWTT8"],"itemData":{"id":12,"type":"article-journal","container-title":"Oikos","DOI":"10.1111/oik.05968","ISSN":"0030-1299, 1600-0706","issue":"8","journalAbbreviation":"Oikos","language":"en","page":"1079-1091","source":"DOI.org (Crossref)","title":"Species richness change across spatial scales","URL":"https://onlinelibrary.wiley.com/doi/abs/10.1111/oik.05968","volume":"128","author":[{"family":"Chase","given":"Jonathan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accessed":{"date-parts":[["2020",7,8]]},"issued":{"date-parts":[["2019",8]]}}},{"id":365,"uris":["http://zotero.org/users/6714553/items/XYK2R4KV"],"itemData":{"id":365,"type":"article-journal","abstract":"Aim Biodiversity patterns and the mechanisms driving these patterns are inherently scale dependent. Studies investigating biodiversity scaling have focused mostly on evaluating community turnover without taking into consideration its underlying processes of local extinction (hereafter, extinction) and colonization. Our goal was to evaluate the spatial scaling of change in avian assemblages through time and identify environmental drivers of community-wide dynamics across a range of spatial scales, with a focus on extinction and colonization.","container-title":"Global Ecology and Biogeography","DOI":"10.1111/geb.12361","ISSN":"1466822X","issue":"11","journalAbbreviation":"Global Ecology and Biogeography","language":"en","page":"1236-1248","source":"DOI.org (Crossref)","title":"Spatial scaling of temporal changes in avian communities: Scale dependence of community turnover","title-short":"Spatial scaling of temporal changes in avian communities","URL":"http://doi.wiley.com/10.1111/geb.12361","volume":"24","author":[{"family":"Jarzyna","given":"Marta A."},{"family":"Zuckerberg","given":"Benjamin"},{"family":"Porter","given":"William F."},{"family":"Finley","given":"Andrew O."},{"family":"Maurer","given":"Brian A."}],"accessed":{"date-parts":[["2021",1,22]]},"issued":{"date-parts":[["2015",11]]}}},{"id":2,"uris":["http://zotero.org/users/6714553/items/QDXWHQ2I"],"itemData":{"id":2,"type":"article-journal","container-title":"Nature Communications","DOI":"10.1038/s41467-018-04889-z","ISSN":"2041-1723","issue":"1","journalAbbreviation":"Nat Commun","language":"en","page":"2565","source":"DOI.org (Crossref)","title":"Taxonomic and functional diversity change is scale dependent","URL":"http://www.nature.com/articles/s41467-018-04889-z","volume":"9","author":[{"family":"Jarzyna","given":"Marta A."},{"family":"Jetz","given":"Walter"}],"accessed":{"date-parts":[["2020",7,29]]},"issued":{"date-parts":[["2018",12]]}}},{"id":8,"uris":["http://zotero.org/users/6714553/items/7CBNG8DV"],"itemData":{"id":8,"type":"article-journal","abstract":"Aim: Biodiversity loss is a key component of biodiversity change and can impact ecosystem services. However, estimation of the loss has focused mostly on per-species extinction rates measured over a limited number of spatial scales, with little theory li</w:instrText>
      </w:r>
      <w:r w:rsidR="0004447D" w:rsidRPr="00FA1334">
        <w:rPr>
          <w:rFonts w:eastAsia="Times New Roman"/>
          <w:color w:val="0070C0"/>
          <w:lang w:val="fr-FR"/>
        </w:rPr>
        <w:instrText xml:space="preserve">nking small-scale extirpations to global extinctions. Here, we provide such a link by introducing the relationship between area and the number of extinctions (number of extinctions–area relationship; NxAR) and between area and the proportion of extinct species (proportion of extinctions–area relationship; PxAR). Unlike static patterns, such as the species–area relationship, NxAR and PxAR represent spatial scaling of a dynamic process. We show theoretical and empirical forms of these relationships and we discuss their role in perception and estimation of the current extinction crisis.","container-title":"Global Ecology and Biogeography","DOI":"10.1111/geb.12669","ISSN":"1466822X","issue":"1","journalAbbreviation":"Global Ecol Biogeogr","language":"en","page":"2-13","source":"DOI.org (Crossref)","title":"Spatial scaling of extinction rates: Theory and data reveal nonlinearity and a major upscaling and downscaling challenge","title-short":"Spatial scaling of extinction rates","URL":"http://doi.wiley.com/10.1111/geb.12669","volume":"27","author":[{"family":"Keil","given":"Petr"},{"family":"Pereira","given":"Henrique M."},{"family":"Cabral","given":"Juliano S."},{"family":"Chase","given":"Jonathan M."},{"family":"May","given":"Felix"},{"family":"Martins","given":"Inês S."},{"family":"Winter","given":"Marten"}],"accessed":{"date-parts":[["2020",7,8]]},"issued":{"date-parts":[["2018",1]]}}}],"schema":"https://github.com/citation-style-language/schema/raw/master/csl-citation.json"} </w:instrText>
      </w:r>
      <w:r w:rsidR="00703CC4" w:rsidRPr="00E25CDA">
        <w:rPr>
          <w:rFonts w:eastAsia="Times New Roman"/>
          <w:color w:val="0070C0"/>
          <w:lang w:val="en-GB"/>
        </w:rPr>
        <w:fldChar w:fldCharType="separate"/>
      </w:r>
      <w:r w:rsidR="00703CC4" w:rsidRPr="000277C1">
        <w:rPr>
          <w:rFonts w:ascii="Calibri" w:hAnsi="Calibri" w:cs="Calibri"/>
          <w:color w:val="0070C0"/>
          <w:lang w:val="fr-FR"/>
        </w:rPr>
        <w:t>Chase et al. (201</w:t>
      </w:r>
      <w:r w:rsidR="00C42681" w:rsidRPr="000277C1">
        <w:rPr>
          <w:rFonts w:ascii="Calibri" w:hAnsi="Calibri" w:cs="Calibri"/>
          <w:color w:val="0070C0"/>
          <w:lang w:val="fr-FR"/>
        </w:rPr>
        <w:t>9</w:t>
      </w:r>
      <w:r w:rsidR="00703CC4" w:rsidRPr="000277C1">
        <w:rPr>
          <w:rFonts w:ascii="Calibri" w:hAnsi="Calibri" w:cs="Calibri"/>
          <w:color w:val="0070C0"/>
          <w:lang w:val="fr-FR"/>
        </w:rPr>
        <w:t xml:space="preserve">), Jarzyna et al. </w:t>
      </w:r>
      <w:r w:rsidR="00703CC4" w:rsidRPr="00F8256E">
        <w:rPr>
          <w:rFonts w:ascii="Calibri" w:hAnsi="Calibri" w:cs="Calibri"/>
          <w:color w:val="0070C0"/>
          <w:lang w:val="fr-FR"/>
        </w:rPr>
        <w:t>(2015), Jarzyna &amp; Jetz (2018)</w:t>
      </w:r>
      <w:r w:rsidR="00F8256E" w:rsidRPr="00F8256E">
        <w:rPr>
          <w:rFonts w:ascii="Calibri" w:hAnsi="Calibri" w:cs="Calibri"/>
          <w:color w:val="0070C0"/>
          <w:lang w:val="fr-FR"/>
        </w:rPr>
        <w:t xml:space="preserve">, </w:t>
      </w:r>
      <w:r w:rsidR="00703CC4" w:rsidRPr="00F8256E">
        <w:rPr>
          <w:rFonts w:ascii="Calibri" w:hAnsi="Calibri" w:cs="Calibri"/>
          <w:color w:val="0070C0"/>
          <w:lang w:val="fr-FR"/>
        </w:rPr>
        <w:t xml:space="preserve">Keil et al. </w:t>
      </w:r>
      <w:r w:rsidR="00703CC4" w:rsidRPr="000277C1">
        <w:rPr>
          <w:rFonts w:ascii="Calibri" w:hAnsi="Calibri" w:cs="Calibri"/>
          <w:color w:val="0070C0"/>
        </w:rPr>
        <w:t>(2018)</w:t>
      </w:r>
      <w:r w:rsidR="00703CC4" w:rsidRPr="00E25CDA">
        <w:rPr>
          <w:rFonts w:eastAsia="Times New Roman"/>
          <w:color w:val="0070C0"/>
          <w:lang w:val="en-GB"/>
        </w:rPr>
        <w:fldChar w:fldCharType="end"/>
      </w:r>
      <w:r w:rsidR="00F8256E" w:rsidRPr="000277C1">
        <w:rPr>
          <w:rFonts w:eastAsia="Times New Roman"/>
          <w:color w:val="0070C0"/>
        </w:rPr>
        <w:t>, Leroy et al. (in prep.)</w:t>
      </w:r>
      <w:r w:rsidR="00703CC4" w:rsidRPr="000277C1">
        <w:rPr>
          <w:rFonts w:eastAsia="Times New Roman"/>
          <w:color w:val="0070C0"/>
        </w:rPr>
        <w:t>.</w:t>
      </w:r>
      <w:r w:rsidR="00E25CDA" w:rsidRPr="00E25CDA">
        <w:rPr>
          <w:rFonts w:eastAsia="Times New Roman"/>
          <w:color w:val="0070C0"/>
          <w:lang w:val="en-GB"/>
        </w:rPr>
        <w:t xml:space="preserve"> As a matter of fact, temporal trends of taxonomic diversity are resulting from 3 ecological processes, namely colonization, extinction and persistence which are themselves scale dependent </w:t>
      </w:r>
      <w:r w:rsidR="00E25CDA" w:rsidRPr="00E25CDA">
        <w:rPr>
          <w:rFonts w:eastAsia="Times New Roman"/>
          <w:color w:val="0070C0"/>
          <w:lang w:val="en-GB"/>
        </w:rPr>
        <w:fldChar w:fldCharType="begin"/>
      </w:r>
      <w:r w:rsidR="0004447D">
        <w:rPr>
          <w:rFonts w:eastAsia="Times New Roman"/>
          <w:color w:val="0070C0"/>
          <w:lang w:val="en-GB"/>
        </w:rPr>
        <w:instrText xml:space="preserve"> ADDIN ZOTERO_ITEM CSL_CITATION {"citationID":"3VOcFqgI","properties":{"formattedCitation":"(Jarzyna et al., 2015; Jarzyna &amp; Jetz, 2018; Keil et al., 2018)","plainCitation":"(Jarzyna et al., 2015; Jarzyna &amp; Jetz, 2018; Keil et al., 2018)","dontUpdate":true,"noteIndex":0},"citationItems":[{"id":365,"uris":["http://zotero.org/users/6714553/items/XYK2R4KV"],"itemData":{"id":365,"type":"article-journal","abstract":"Aim Biodiversity patterns and the mechanisms driving these patterns are inherently scale dependent. Studies investigating biodiversity scaling have focused mostly on evaluating community turnover without taking into consideration its underlying processes of local extinction (hereafter, extinction) and colonization. Our goal was to evaluate the spatial scaling of change in avian assemblages through time and identify environmental drivers of community-wide dynamics across a range of spatial scales, with a focus on extinction and colonization.","container-title":"Global Ecology and Biogeography","DOI":"10.1111/geb.12361","ISSN":"1466822X","issue":"11","journalAbbreviation":"Global Ecology and Biogeography","language":"en","page":"1236-1248","source":"DOI.org (Crossref)","title":"Spatial scaling of temporal changes in avian communities: Scale dependence of community turnover","title-short":"Spatial scaling of temporal changes in avian communities","URL":"http://doi.wiley.com/10.1111/geb.12361","volume":"24","author":[{"family":"Jarzyna","given":"Marta A."},{"family":"Zuckerberg","given":"Benjamin"},{"family":"Porter","given":"William F."},{"family":"Finley","given":"Andrew O."},{"family":"Maurer","given":"Brian A."}],"accessed":{"date-parts":[["2021",1,22]]},"issued":{"date-parts":[["2015",11]]}}},{"id":2,"uris":["http://zotero.org/users/6714553/items/QDXWHQ2I"],"itemData":{"id":2,"type":"article-journal","container-title":"Nature Communications","DOI":"10.1038/s41467-018-04889-z","ISSN":"2041-1723","issue":"1","journalAbbreviation":"Nat Commun","language":"en","page":"2565","source":"DOI.org (Crossref)","title":"Taxonomic and functional diversity change is scale dependent","URL":"http://www.nature.com/articles/s41467-018-04889-z","volume":"9","author":[{"family":"Jarzyna","given":"Marta A."},{"family":"Jetz","given":"Walter"}],"accessed":{"date-parts":[["2020",7,29]]},"issued":{"date-parts":[["2018",12]]}}},{"id":8,"uris":["http://zotero.org/users/6714553/items/7CBNG8DV"],"itemData":{"id":8,"type":"article-journal","abstract":"Aim: Biodiversity loss is a key component of biodiversity change and can impact ecosystem services. However, estimation of the loss has focused mostly on per-species extinction rates measured over a limited number of spatial scales, with little theory li</w:instrText>
      </w:r>
      <w:r w:rsidR="0004447D" w:rsidRPr="0004447D">
        <w:rPr>
          <w:rFonts w:eastAsia="Times New Roman"/>
          <w:color w:val="0070C0"/>
          <w:lang w:val="fr-FR"/>
        </w:rPr>
        <w:instrText xml:space="preserve">nking small-scale extirpations to global extinctions. Here, we provide such a link by introducing the relationship between area and the number of extinctions (number of extinctions–area relationship; NxAR) and between area and the proportion of extinct species (proportion of extinctions–area relationship; PxAR). Unlike static patterns, such as the species–area relationship, NxAR and PxAR represent spatial scaling of a dynamic process. We show theoretical and empirical forms of these relationships and we discuss their role in perception and estimation of the current extinction crisis.","container-title":"Global Ecology and Biogeography","DOI":"10.1111/geb.12669","ISSN":"1466822X","issue":"1","journalAbbreviation":"Global Ecol Biogeogr","language":"en","page":"2-13","source":"DOI.org (Crossref)","title":"Spatial scaling of extinction rates: Theory and data reveal nonlinearity and a major upscaling and downscaling challenge","title-short":"Spatial scaling of extinction rates","URL":"http://doi.wiley.com/10.1111/geb.12669","volume":"27","author":[{"family":"Keil","given":"Petr"},{"family":"Pereira","given":"Henrique M."},{"family":"Cabral","given":"Juliano S."},{"family":"Chase","given":"Jonathan M."},{"family":"May","given":"Felix"},{"family":"Martins","given":"Inês S."},{"family":"Winter","given":"Marten"}],"accessed":{"date-parts":[["2020",7,8]]},"issued":{"date-parts":[["2018",1]]}}}],"schema":"https://github.com/citation-style-language/schema/raw/master/csl-citation.json"} </w:instrText>
      </w:r>
      <w:r w:rsidR="00E25CDA" w:rsidRPr="00E25CDA">
        <w:rPr>
          <w:rFonts w:eastAsia="Times New Roman"/>
          <w:color w:val="0070C0"/>
          <w:lang w:val="en-GB"/>
        </w:rPr>
        <w:fldChar w:fldCharType="separate"/>
      </w:r>
      <w:r w:rsidR="00E25CDA" w:rsidRPr="0004447D">
        <w:rPr>
          <w:rFonts w:ascii="Calibri" w:hAnsi="Calibri" w:cs="Calibri"/>
          <w:color w:val="0070C0"/>
          <w:lang w:val="fr-FR"/>
        </w:rPr>
        <w:t>(Jarzyna et al., 2015; Jarzyna &amp; Jetz, 2018; Keil et al., 2018</w:t>
      </w:r>
      <w:r w:rsidR="0004447D" w:rsidRPr="0004447D">
        <w:rPr>
          <w:rFonts w:ascii="Calibri" w:hAnsi="Calibri" w:cs="Calibri"/>
          <w:color w:val="0070C0"/>
          <w:lang w:val="fr-FR"/>
        </w:rPr>
        <w:t>; Leroy et al.,</w:t>
      </w:r>
      <w:r w:rsidR="0004447D">
        <w:rPr>
          <w:rFonts w:ascii="Calibri" w:hAnsi="Calibri" w:cs="Calibri"/>
          <w:color w:val="0070C0"/>
          <w:lang w:val="fr-FR"/>
        </w:rPr>
        <w:t xml:space="preserve"> in prep.</w:t>
      </w:r>
      <w:r w:rsidR="00E25CDA" w:rsidRPr="0004447D">
        <w:rPr>
          <w:rFonts w:ascii="Calibri" w:hAnsi="Calibri" w:cs="Calibri"/>
          <w:color w:val="0070C0"/>
          <w:lang w:val="fr-FR"/>
        </w:rPr>
        <w:t>)</w:t>
      </w:r>
      <w:r w:rsidR="00E25CDA" w:rsidRPr="00E25CDA">
        <w:rPr>
          <w:rFonts w:eastAsia="Times New Roman"/>
          <w:color w:val="0070C0"/>
          <w:lang w:val="en-GB"/>
        </w:rPr>
        <w:fldChar w:fldCharType="end"/>
      </w:r>
      <w:r w:rsidR="00E25CDA" w:rsidRPr="00FA1334">
        <w:rPr>
          <w:rFonts w:eastAsia="Times New Roman"/>
          <w:color w:val="0070C0"/>
        </w:rPr>
        <w:t xml:space="preserve">. </w:t>
      </w:r>
      <w:r w:rsidR="00E25CDA" w:rsidRPr="00E25CDA">
        <w:rPr>
          <w:rFonts w:eastAsia="Times New Roman"/>
          <w:color w:val="0070C0"/>
          <w:lang w:val="en-GB"/>
        </w:rPr>
        <w:t xml:space="preserve">Also, processes such as </w:t>
      </w:r>
      <w:r w:rsidR="00E25CDA">
        <w:rPr>
          <w:rFonts w:eastAsia="Times New Roman"/>
          <w:color w:val="0070C0"/>
          <w:lang w:val="en-GB"/>
        </w:rPr>
        <w:t xml:space="preserve">dispersion, extirpation or carrying </w:t>
      </w:r>
      <w:r w:rsidR="00E25CDA">
        <w:rPr>
          <w:rFonts w:eastAsia="Times New Roman"/>
          <w:color w:val="0070C0"/>
          <w:lang w:val="en-GB"/>
        </w:rPr>
        <w:lastRenderedPageBreak/>
        <w:t>capacity of an ecosystem can drive the shape of the temporal change scaling</w:t>
      </w:r>
      <w:r w:rsidR="00974B85" w:rsidRPr="00F07BEE">
        <w:rPr>
          <w:rFonts w:eastAsia="Times New Roman"/>
          <w:color w:val="0070C0"/>
          <w:lang w:val="en-GB"/>
        </w:rPr>
        <w:t xml:space="preserve"> </w:t>
      </w:r>
      <w:r w:rsidR="00974B85" w:rsidRPr="00F07BEE">
        <w:rPr>
          <w:rFonts w:eastAsia="Times New Roman"/>
          <w:color w:val="0070C0"/>
          <w:lang w:val="en-GB"/>
        </w:rPr>
        <w:fldChar w:fldCharType="begin"/>
      </w:r>
      <w:r w:rsidR="00974B85" w:rsidRPr="00F07BEE">
        <w:rPr>
          <w:rFonts w:eastAsia="Times New Roman"/>
          <w:color w:val="0070C0"/>
          <w:lang w:val="en-GB"/>
        </w:rPr>
        <w:instrText xml:space="preserve"> ADDIN ZOTERO_ITEM CSL_CITATION {"citationID":"Ihq3jNIA","properties":{"formattedCitation":"(Chase et al., 2019)","plainCitation":"(Chase et al., 2019)","noteIndex":0},"citationItems":[{"id":12,"uris":["http://zotero.org/users/6714553/items/K8LRWTT8"],"itemData":{"id":12,"type":"article-journal","container-title":"Oikos","DOI":"10.1111/oik.05968","ISSN":"0030-1299, 1600-0706","issue":"8","journalAbbreviation":"Oikos","language":"en","page":"1079-1091","source":"DOI.org (Crossref)","title":"Species richness change across spatial scales","URL":"https://onlinelibrary.wiley.com/doi/abs/10.1111/oik.05968","volume":"128","author":[{"family":"Chase","given":"Jonathan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accessed":{"date-parts":[["2020",7,8]]},"issued":{"date-parts":[["2019",8]]}}}],"schema":"https://github.com/citation-style-language/schema/raw/master/csl-citation.json"} </w:instrText>
      </w:r>
      <w:r w:rsidR="00974B85" w:rsidRPr="00F07BEE">
        <w:rPr>
          <w:rFonts w:eastAsia="Times New Roman"/>
          <w:color w:val="0070C0"/>
          <w:lang w:val="en-GB"/>
        </w:rPr>
        <w:fldChar w:fldCharType="separate"/>
      </w:r>
      <w:r w:rsidR="00974B85" w:rsidRPr="00F07BEE">
        <w:rPr>
          <w:rFonts w:ascii="Calibri" w:hAnsi="Calibri" w:cs="Calibri"/>
          <w:color w:val="0070C0"/>
        </w:rPr>
        <w:t>(Chase et al., 2019)</w:t>
      </w:r>
      <w:r w:rsidR="00974B85" w:rsidRPr="00F07BEE">
        <w:rPr>
          <w:rFonts w:eastAsia="Times New Roman"/>
          <w:color w:val="0070C0"/>
          <w:lang w:val="en-GB"/>
        </w:rPr>
        <w:fldChar w:fldCharType="end"/>
      </w:r>
      <w:r w:rsidR="00E25CDA">
        <w:rPr>
          <w:rFonts w:eastAsia="Times New Roman"/>
          <w:color w:val="0070C0"/>
          <w:lang w:val="en-GB"/>
        </w:rPr>
        <w:t>.</w:t>
      </w:r>
      <w:r w:rsidR="00974B85">
        <w:rPr>
          <w:rFonts w:eastAsia="Times New Roman"/>
          <w:color w:val="0070C0"/>
          <w:lang w:val="en-GB"/>
        </w:rPr>
        <w:t xml:space="preserve"> However, concerning the temporal scaling of biodiversity trends, literature is almost non-existent and only assumptions can be made. This is because (and this is what we emphasize on in this present manuscript), temporal features (especially temporal grains) are not always available. Even if available, aggregating temporal grains together is quite challenging as they are often heterogeneous. A personal analysis conducted on local surveys of Czech birds resulted in no temporal scaling of biodiversity trends, while spatial scaling was clear (Leroy et al., in prep.). </w:t>
      </w:r>
    </w:p>
    <w:p w14:paraId="6FA02D32" w14:textId="33B8A51C" w:rsidR="00C15FCD" w:rsidRDefault="00C15FCD" w:rsidP="00E25CDA">
      <w:pPr>
        <w:spacing w:after="0"/>
        <w:ind w:left="720"/>
        <w:rPr>
          <w:rFonts w:eastAsia="Times New Roman"/>
          <w:color w:val="0070C0"/>
          <w:lang w:val="en-GB"/>
        </w:rPr>
      </w:pPr>
      <w:r>
        <w:rPr>
          <w:rFonts w:eastAsia="Times New Roman"/>
          <w:color w:val="0070C0"/>
          <w:lang w:val="en-GB"/>
        </w:rPr>
        <w:t xml:space="preserve">We added a short version of this paragraph in the introduction </w:t>
      </w:r>
      <w:r w:rsidR="007B28E8">
        <w:rPr>
          <w:rFonts w:eastAsia="Times New Roman"/>
          <w:color w:val="0070C0"/>
          <w:lang w:val="en-GB"/>
        </w:rPr>
        <w:t>L68-72</w:t>
      </w:r>
      <w:r>
        <w:rPr>
          <w:rFonts w:eastAsia="Times New Roman"/>
          <w:color w:val="0070C0"/>
          <w:lang w:val="en-GB"/>
        </w:rPr>
        <w:t>:</w:t>
      </w:r>
    </w:p>
    <w:p w14:paraId="2C7DB6F6" w14:textId="6DE0B788" w:rsidR="00C15FCD" w:rsidRDefault="00C15FCD" w:rsidP="00E25CDA">
      <w:pPr>
        <w:spacing w:after="0"/>
        <w:ind w:left="720"/>
        <w:rPr>
          <w:rFonts w:eastAsia="Times New Roman"/>
          <w:color w:val="0070C0"/>
          <w:lang w:val="en-GB"/>
        </w:rPr>
      </w:pPr>
    </w:p>
    <w:p w14:paraId="60EDD723" w14:textId="4EB4A785" w:rsidR="00C15FCD" w:rsidRPr="00F8256E" w:rsidRDefault="00C15FCD" w:rsidP="00C15FCD">
      <w:pPr>
        <w:spacing w:after="0"/>
        <w:ind w:left="1440"/>
        <w:rPr>
          <w:rFonts w:eastAsia="Times New Roman"/>
          <w:i/>
          <w:iCs/>
          <w:color w:val="0070C0"/>
          <w:lang w:val="fr-FR"/>
        </w:rPr>
      </w:pPr>
      <w:r w:rsidRPr="00F8256E">
        <w:rPr>
          <w:rFonts w:eastAsia="Times New Roman"/>
          <w:i/>
          <w:iCs/>
          <w:color w:val="0070C0"/>
          <w:lang w:val="en-GB"/>
        </w:rPr>
        <w:t>“</w:t>
      </w:r>
      <w:bookmarkStart w:id="1" w:name="_Hlk127276427"/>
      <w:r w:rsidR="00D94165">
        <w:rPr>
          <w:i/>
          <w:iCs/>
          <w:color w:val="0070C0"/>
          <w:highlight w:val="white"/>
        </w:rPr>
        <w:t xml:space="preserve">In </w:t>
      </w:r>
      <w:r w:rsidR="00F8256E" w:rsidRPr="00F8256E">
        <w:rPr>
          <w:rFonts w:cstheme="minorHAnsi"/>
          <w:i/>
          <w:iCs/>
          <w:color w:val="0070C0"/>
          <w:highlight w:val="white"/>
        </w:rPr>
        <w:t xml:space="preserve">fact, the magnitude of the ecological processes responsible for the temporal change of biodiversity such as colonization, extinction, persistence, dispersal or extirpation are themselves scale dependent leading to different spatial scaling of biodiversity changes </w:t>
      </w:r>
      <w:r w:rsidR="00F8256E" w:rsidRPr="00F8256E">
        <w:rPr>
          <w:rFonts w:cstheme="minorHAnsi"/>
          <w:i/>
          <w:iCs/>
          <w:color w:val="0070C0"/>
          <w:highlight w:val="white"/>
        </w:rPr>
        <w:fldChar w:fldCharType="begin"/>
      </w:r>
      <w:r w:rsidR="00F8256E" w:rsidRPr="00F8256E">
        <w:rPr>
          <w:rFonts w:cstheme="minorHAnsi"/>
          <w:i/>
          <w:iCs/>
          <w:color w:val="0070C0"/>
          <w:highlight w:val="white"/>
        </w:rPr>
        <w:instrText xml:space="preserve"> ADDIN ZOTERO_ITEM CSL_CITATION {"citationID":"1X7eLCgy","properties":{"formattedCitation":"(Chase et al., 2019; Jarzyna et al., 2015; Jarzyna &amp; Jetz, 2018; Keil et al., 2018)","plainCitation":"(Chase et al., 2019; Jarzyna et al., 2015; Jarzyna &amp; Jetz, 2018; Keil et al., 2018)","noteIndex":0},"citationItems":[{"id":12,"uris":["http://zotero.org/users/6714553/items/K8LRWTT8"],"itemData":{"id":12,"type":"article-journal","container-title":"Oikos","DOI":"10.1111/oik.05968","ISSN":"0030-1299, 1600-0706","issue":"8","journalAbbreviation":"Oikos","language":"en","page":"1079-1091","source":"DOI.org (Crossref)","title":"Species richness change across spatial scales","URL":"https://onlinelibrary.wiley.com/doi/abs/10.1111/oik.05968","volume":"128","author":[{"family":"Chase","given":"Jonathan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accessed":{"date-parts":[["2020",7,8]]},"issued":{"date-parts":[["2019",8]]}}},{"id":365,"uris":["http://zotero.org/users/6714553/items/XYK2R4KV"],"itemData":{"id":365,"type":"article-journal","abstract":"Aim Biodiversity patterns and the mechanisms driving these patterns are inherently scale dependent. Studies investigating biodiversity scaling have focused mostly on evaluating community turnover without taking into consideration its underlying processes of local extinction (hereafter, extinction) and colonization. Our goal was to evaluate the spatial scaling of change in avian assemblages through time and identify environmental drivers of community-wide dynamics across a range of spatial scales, with a focus on extinction and colonization.","container-title":"Global Ecology and Biogeography","DOI":"10.1111/geb.12361","ISSN":"1466822X","issue":"11","journalAbbreviation":"Global Ecology and Biogeography","language":"en","page":"1236-1248","source":"DOI.org (Crossref)","title":"Spatial scaling of temporal changes in avian communities: Scale dependence of community turnover","title-short":"Spatial scaling of temporal changes in avian communities","URL":"http://doi.wiley.com/10.1111/geb.12361","volume":"24","author":[{"family":"Jarzyna","given":"Marta A."},{"family":"Zuckerberg","given":"Benjamin"},{"family":"Porter","given":"William F."},{"family":"Finley","given":"Andrew O."},{"family":"Maurer","given":"Brian A."}],"accessed":{"date-parts":[["2021",1,22]]},"issued":{"date-parts":[["2015",11]]}}},{"id":2,"uris":["http://zotero.org/users/6714553/items/QDXWHQ2I"],"itemData":{"id":2,"type":"article-journal","container-title":"Nature Communications","DOI":"10.1038/s41467-018-04889-z","ISSN":"2041-1723","issue":"1","journalAbbreviation":"Nat Commun","language":"en","page":"2565","source":"DOI.org (Crossref)","title":"Taxonomic and functional diversity change is scale dependent","URL":"http://www.nature.com/articles/s41467-018-04889-z","volume":"9","author":[{"family":"Jarzyna","given":"Marta A."},{"family":"Jetz","given":"Walter"}],"accessed":{"date-parts":[["2020",7,29]]},"issued":{"date-parts":[["2018",12]]}}},{"id":8,"uris":["http://zotero.org/users/6714553/items/7CBNG8DV"],"itemData":{"id":8,"type":"article-journal","abstract":"Aim: Biodiversity loss is a key component of biodiversity change and can impact ecosystem services. However, estimation of the loss has focused mostly on per-species extinction rates measured over a limited number of spatial scales, with little theory li</w:instrText>
      </w:r>
      <w:r w:rsidR="00F8256E" w:rsidRPr="00F8256E">
        <w:rPr>
          <w:rFonts w:cstheme="minorHAnsi"/>
          <w:i/>
          <w:iCs/>
          <w:color w:val="0070C0"/>
          <w:highlight w:val="white"/>
          <w:lang w:val="fr-FR"/>
        </w:rPr>
        <w:instrText xml:space="preserve">nking small-scale extirpations to global extinctions. Here, we provide such a link by introducing the relationship between area and the number of extinctions (number of extinctions–area relationship; NxAR) and between area and the proportion of extinct species (proportion of extinctions–area relationship; PxAR). Unlike static patterns, such as the species–area relationship, NxAR and PxAR represent spatial scaling of a dynamic process. We show theoretical and empirical forms of these relationships and we discuss their role in perception and estimation of the current extinction crisis.","container-title":"Global Ecology and Biogeography","DOI":"10.1111/geb.12669","ISSN":"1466822X","issue":"1","journalAbbreviation":"Global Ecol Biogeogr","language":"en","page":"2-13","source":"DOI.org (Crossref)","title":"Spatial scaling of extinction rates: Theory and data reveal nonlinearity and a major upscaling and downscaling challenge","title-short":"Spatial scaling of extinction rates","URL":"http://doi.wiley.com/10.1111/geb.12669","volume":"27","author":[{"family":"Keil","given":"Petr"},{"family":"Pereira","given":"Henrique M."},{"family":"Cabral","given":"Juliano S."},{"family":"Chase","given":"Jonathan M."},{"family":"May","given":"Felix"},{"family":"Martins","given":"Inês S."},{"family":"Winter","given":"Marten"}],"accessed":{"date-parts":[["2020",7,8]]},"issued":{"date-parts":[["2018",1]]}}}],"schema":"https://github.com/citation-style-language/schema/raw/master/csl-citation.json"} </w:instrText>
      </w:r>
      <w:r w:rsidR="00F8256E" w:rsidRPr="00F8256E">
        <w:rPr>
          <w:rFonts w:cstheme="minorHAnsi"/>
          <w:i/>
          <w:iCs/>
          <w:color w:val="0070C0"/>
          <w:highlight w:val="white"/>
        </w:rPr>
        <w:fldChar w:fldCharType="separate"/>
      </w:r>
      <w:r w:rsidR="00F8256E" w:rsidRPr="00F8256E">
        <w:rPr>
          <w:rFonts w:cstheme="minorHAnsi"/>
          <w:i/>
          <w:iCs/>
          <w:color w:val="0070C0"/>
          <w:highlight w:val="white"/>
          <w:lang w:val="fr-FR"/>
        </w:rPr>
        <w:t>(Chase et al., 2019; Jarzyna et al., 2015; Jarzyna &amp; Jetz, 2018; Keil et al., 2018)</w:t>
      </w:r>
      <w:r w:rsidR="00F8256E" w:rsidRPr="00F8256E">
        <w:rPr>
          <w:rFonts w:cstheme="minorHAnsi"/>
          <w:i/>
          <w:iCs/>
          <w:color w:val="0070C0"/>
          <w:highlight w:val="white"/>
        </w:rPr>
        <w:fldChar w:fldCharType="end"/>
      </w:r>
      <w:r w:rsidR="00F8256E" w:rsidRPr="00F8256E">
        <w:rPr>
          <w:rFonts w:cstheme="minorHAnsi"/>
          <w:i/>
          <w:iCs/>
          <w:color w:val="0070C0"/>
          <w:highlight w:val="white"/>
          <w:lang w:val="fr-FR"/>
        </w:rPr>
        <w:t>.</w:t>
      </w:r>
      <w:bookmarkEnd w:id="1"/>
      <w:r w:rsidR="00F8256E" w:rsidRPr="00F8256E">
        <w:rPr>
          <w:rFonts w:eastAsia="Times New Roman"/>
          <w:i/>
          <w:iCs/>
          <w:color w:val="0070C0"/>
          <w:lang w:val="fr-FR"/>
        </w:rPr>
        <w:t>”</w:t>
      </w:r>
    </w:p>
    <w:p w14:paraId="2898DD75" w14:textId="2D836ADE" w:rsidR="00316D4A" w:rsidRDefault="00316D4A" w:rsidP="00E0563D">
      <w:pPr>
        <w:spacing w:after="0"/>
        <w:ind w:firstLine="720"/>
        <w:rPr>
          <w:rFonts w:eastAsia="Times New Roman"/>
        </w:rPr>
      </w:pPr>
      <w:r w:rsidRPr="009A34AC">
        <w:rPr>
          <w:rFonts w:eastAsia="Times New Roman"/>
          <w:lang w:val="fr-FR"/>
        </w:rPr>
        <w:br/>
      </w:r>
      <w:r>
        <w:rPr>
          <w:rFonts w:eastAsia="Times New Roman"/>
        </w:rPr>
        <w:t xml:space="preserve">It still remains unclear why some studies using abundance based metrics were discarded. The response in the letter is I think not completly justified (it would generate too many studies to consider). I understand for very specific indicators focused on particular groups of birds (thermal tolerant, farmland birds...) but many studies have described biodiversity dynamics using multiple species abundance based metrics. It connot be simply considered "out of the scope" of this paper. After all, those metrics are telling something essential to understand local and global biodiversity trends. For instance, why </w:t>
      </w:r>
      <w:bookmarkStart w:id="2" w:name="_Hlk127285649"/>
      <w:r>
        <w:rPr>
          <w:rFonts w:eastAsia="Times New Roman"/>
        </w:rPr>
        <w:t>Rosenberg et al. 2019 Decline of the North America avifauna, Science</w:t>
      </w:r>
      <w:bookmarkEnd w:id="2"/>
      <w:r>
        <w:rPr>
          <w:rFonts w:eastAsia="Times New Roman"/>
        </w:rPr>
        <w:t>. is not considered? Or Burns et al. 2021 Abundance decline in the avifauna of the European Union reveals cross-continental similarities in biodiversity change, Ecology and Evolution? There is an elusive mention, late in the discussion, that those "abundance-based metrics are beyond the scope our study" (l290). This is not convincing. Of course it is legitimate to focus on species numbers but we need to better understand why and what is missed by doing so. I suggest this is more emphasized in the introduction and in the interpretations. You could have observed a stable trend in species richness and a massive loss in abundances of each species. Would you conclude that "biodiversity" is "stable", I hope not. Your interpretations in the discussion tend to suggest that species numbers is a good proxy for "biodiversity". I think you won't lose the interest of your analysis by being much more nuanced about this and expanding much more the importance of tracking changes in abundances.</w:t>
      </w:r>
    </w:p>
    <w:p w14:paraId="25A797CC" w14:textId="374D7FFC" w:rsidR="00424CAC" w:rsidRPr="00291DCD" w:rsidRDefault="00424CAC" w:rsidP="00837892">
      <w:pPr>
        <w:spacing w:after="0"/>
        <w:ind w:left="720"/>
        <w:rPr>
          <w:rFonts w:eastAsia="Times New Roman"/>
          <w:color w:val="0070C0"/>
        </w:rPr>
      </w:pPr>
      <w:r w:rsidRPr="00291DCD">
        <w:rPr>
          <w:rFonts w:eastAsia="Times New Roman"/>
          <w:color w:val="0070C0"/>
        </w:rPr>
        <w:t xml:space="preserve">&gt;&gt;&gt; </w:t>
      </w:r>
      <w:r w:rsidR="00DC1832" w:rsidRPr="00291DCD">
        <w:rPr>
          <w:rFonts w:eastAsia="Times New Roman"/>
          <w:color w:val="0070C0"/>
        </w:rPr>
        <w:t xml:space="preserve">We do understand and agree on emphasizing on </w:t>
      </w:r>
      <w:r w:rsidR="00C80ACE" w:rsidRPr="00291DCD">
        <w:rPr>
          <w:rFonts w:eastAsia="Times New Roman"/>
          <w:color w:val="0070C0"/>
        </w:rPr>
        <w:t>the</w:t>
      </w:r>
      <w:r w:rsidR="00837892" w:rsidRPr="00291DCD">
        <w:rPr>
          <w:rFonts w:eastAsia="Times New Roman"/>
          <w:color w:val="0070C0"/>
        </w:rPr>
        <w:t xml:space="preserve"> importance of the</w:t>
      </w:r>
      <w:r w:rsidR="00C80ACE" w:rsidRPr="00291DCD">
        <w:rPr>
          <w:rFonts w:eastAsia="Times New Roman"/>
          <w:color w:val="0070C0"/>
        </w:rPr>
        <w:t xml:space="preserve"> </w:t>
      </w:r>
      <w:r w:rsidR="00837892" w:rsidRPr="00291DCD">
        <w:rPr>
          <w:rFonts w:eastAsia="Times New Roman"/>
          <w:color w:val="0070C0"/>
        </w:rPr>
        <w:t xml:space="preserve">absent </w:t>
      </w:r>
      <w:r w:rsidR="00C80ACE" w:rsidRPr="00291DCD">
        <w:rPr>
          <w:rFonts w:eastAsia="Times New Roman"/>
          <w:color w:val="0070C0"/>
        </w:rPr>
        <w:t>abundance-based metrics</w:t>
      </w:r>
      <w:r w:rsidR="00291DCD" w:rsidRPr="00291DCD">
        <w:rPr>
          <w:rFonts w:eastAsia="Times New Roman"/>
          <w:color w:val="0070C0"/>
        </w:rPr>
        <w:t>. We first emphasize in the introduction that trends of abundance-based and incidence-based</w:t>
      </w:r>
      <w:r w:rsidR="003608DB">
        <w:rPr>
          <w:rFonts w:eastAsia="Times New Roman"/>
          <w:color w:val="0070C0"/>
        </w:rPr>
        <w:t xml:space="preserve"> represent different facets of biodiversity and that they </w:t>
      </w:r>
      <w:r w:rsidR="00291DCD" w:rsidRPr="00291DCD">
        <w:rPr>
          <w:rFonts w:eastAsia="Times New Roman"/>
          <w:color w:val="0070C0"/>
        </w:rPr>
        <w:t xml:space="preserve">can be opposite </w:t>
      </w:r>
      <w:r w:rsidR="006C1CF4">
        <w:rPr>
          <w:rFonts w:eastAsia="Times New Roman"/>
          <w:color w:val="0070C0"/>
        </w:rPr>
        <w:t>L107-109</w:t>
      </w:r>
      <w:r w:rsidR="00590B9C">
        <w:rPr>
          <w:rFonts w:eastAsia="Times New Roman"/>
          <w:color w:val="0070C0"/>
        </w:rPr>
        <w:t>:</w:t>
      </w:r>
    </w:p>
    <w:p w14:paraId="2A423505" w14:textId="48F8C454" w:rsidR="00291DCD" w:rsidRPr="00291DCD" w:rsidRDefault="00291DCD" w:rsidP="00837892">
      <w:pPr>
        <w:spacing w:after="0"/>
        <w:ind w:left="720"/>
        <w:rPr>
          <w:rFonts w:eastAsia="Times New Roman"/>
          <w:color w:val="0070C0"/>
        </w:rPr>
      </w:pPr>
    </w:p>
    <w:p w14:paraId="2BDF8168" w14:textId="24A317C0" w:rsidR="00291DCD" w:rsidRPr="00291DCD" w:rsidRDefault="00291DCD" w:rsidP="00291DCD">
      <w:pPr>
        <w:spacing w:after="0"/>
        <w:ind w:left="1440"/>
        <w:rPr>
          <w:rFonts w:eastAsia="Times New Roman"/>
          <w:i/>
          <w:iCs/>
          <w:color w:val="0070C0"/>
        </w:rPr>
      </w:pPr>
      <w:r w:rsidRPr="00291DCD">
        <w:rPr>
          <w:rFonts w:eastAsia="Times New Roman"/>
          <w:i/>
          <w:iCs/>
          <w:color w:val="0070C0"/>
        </w:rPr>
        <w:t>“</w:t>
      </w:r>
      <w:r w:rsidR="006C1CF4" w:rsidRPr="006C1CF4">
        <w:rPr>
          <w:i/>
          <w:iCs/>
          <w:color w:val="0070C0"/>
        </w:rPr>
        <w:t>Also, we warn that population-based metrics represent other facets of biodiversity (i.e. overall number of individuals, ecosystems conservation…), and that the sign of their change can be opposite to incidence-based metrics.</w:t>
      </w:r>
      <w:r w:rsidRPr="00291DCD">
        <w:rPr>
          <w:rFonts w:eastAsia="Times New Roman"/>
          <w:i/>
          <w:iCs/>
          <w:color w:val="0070C0"/>
        </w:rPr>
        <w:t>”</w:t>
      </w:r>
    </w:p>
    <w:p w14:paraId="596A220A" w14:textId="57A8B44C" w:rsidR="00291DCD" w:rsidRPr="00291DCD" w:rsidRDefault="00291DCD" w:rsidP="00291DCD">
      <w:pPr>
        <w:spacing w:after="0"/>
        <w:rPr>
          <w:rFonts w:eastAsia="Times New Roman"/>
          <w:i/>
          <w:iCs/>
          <w:color w:val="0070C0"/>
        </w:rPr>
      </w:pPr>
    </w:p>
    <w:p w14:paraId="1FFB8282" w14:textId="59071F4D" w:rsidR="000277C1" w:rsidRDefault="00291DCD" w:rsidP="000277C1">
      <w:pPr>
        <w:spacing w:after="0"/>
        <w:ind w:left="720"/>
        <w:rPr>
          <w:rFonts w:eastAsia="Times New Roman"/>
          <w:color w:val="0070C0"/>
        </w:rPr>
      </w:pPr>
      <w:r w:rsidRPr="00291DCD">
        <w:rPr>
          <w:rFonts w:eastAsia="Times New Roman"/>
          <w:color w:val="0070C0"/>
        </w:rPr>
        <w:t xml:space="preserve">Second, </w:t>
      </w:r>
      <w:r w:rsidR="006F4813">
        <w:rPr>
          <w:rFonts w:eastAsia="Times New Roman"/>
          <w:color w:val="0070C0"/>
        </w:rPr>
        <w:t xml:space="preserve">we </w:t>
      </w:r>
      <w:r w:rsidR="007850B9">
        <w:rPr>
          <w:rFonts w:eastAsia="Times New Roman"/>
          <w:color w:val="0070C0"/>
        </w:rPr>
        <w:t xml:space="preserve">modified the formulation in the </w:t>
      </w:r>
      <w:r w:rsidR="006F4813">
        <w:rPr>
          <w:rFonts w:eastAsia="Times New Roman"/>
          <w:color w:val="0070C0"/>
        </w:rPr>
        <w:t xml:space="preserve">discussion </w:t>
      </w:r>
      <w:r w:rsidR="007850B9">
        <w:rPr>
          <w:rFonts w:eastAsia="Times New Roman"/>
          <w:color w:val="0070C0"/>
        </w:rPr>
        <w:t xml:space="preserve">and specify that </w:t>
      </w:r>
      <w:r w:rsidR="006F4813">
        <w:rPr>
          <w:rFonts w:eastAsia="Times New Roman"/>
          <w:color w:val="0070C0"/>
        </w:rPr>
        <w:t xml:space="preserve">the local increases of species richness are </w:t>
      </w:r>
      <w:r w:rsidR="007850B9">
        <w:rPr>
          <w:rFonts w:eastAsia="Times New Roman"/>
          <w:color w:val="0070C0"/>
        </w:rPr>
        <w:t>happening</w:t>
      </w:r>
      <w:r w:rsidR="006F4813">
        <w:rPr>
          <w:rFonts w:eastAsia="Times New Roman"/>
          <w:color w:val="0070C0"/>
        </w:rPr>
        <w:t xml:space="preserve"> </w:t>
      </w:r>
      <w:r w:rsidR="007850B9">
        <w:rPr>
          <w:rFonts w:eastAsia="Times New Roman"/>
          <w:color w:val="0070C0"/>
        </w:rPr>
        <w:t>together with</w:t>
      </w:r>
      <w:r w:rsidR="006F4813">
        <w:rPr>
          <w:rFonts w:eastAsia="Times New Roman"/>
          <w:color w:val="0070C0"/>
        </w:rPr>
        <w:t xml:space="preserve"> an unprecedented loss </w:t>
      </w:r>
      <w:r w:rsidR="006F4813" w:rsidRPr="00B41403">
        <w:rPr>
          <w:rFonts w:eastAsia="Times New Roman"/>
          <w:color w:val="0070C0"/>
        </w:rPr>
        <w:t>of bird individual</w:t>
      </w:r>
      <w:r w:rsidR="007850B9" w:rsidRPr="00B41403">
        <w:rPr>
          <w:rFonts w:eastAsia="Times New Roman"/>
          <w:color w:val="0070C0"/>
        </w:rPr>
        <w:t xml:space="preserve">s </w:t>
      </w:r>
      <w:r w:rsidR="006F4813" w:rsidRPr="00B41403">
        <w:rPr>
          <w:rFonts w:eastAsia="Times New Roman"/>
          <w:color w:val="0070C0"/>
        </w:rPr>
        <w:t xml:space="preserve">(and we cite </w:t>
      </w:r>
      <w:r w:rsidR="00B41403" w:rsidRPr="00B41403">
        <w:rPr>
          <w:rFonts w:eastAsia="Times New Roman"/>
          <w:color w:val="0070C0"/>
        </w:rPr>
        <w:t xml:space="preserve">Burns et al. 2021 Abundance decline in the avifauna of the European Union reveals cross-continental similarities in biodiversity change, Ecology and Evolution; </w:t>
      </w:r>
      <w:r w:rsidR="006F4813" w:rsidRPr="006F4813">
        <w:rPr>
          <w:rFonts w:eastAsia="Times New Roman"/>
          <w:color w:val="0070C0"/>
        </w:rPr>
        <w:t xml:space="preserve">Rosenberg et al. 2019 </w:t>
      </w:r>
      <w:r w:rsidR="006F4813" w:rsidRPr="006F4813">
        <w:rPr>
          <w:rFonts w:eastAsia="Times New Roman"/>
          <w:color w:val="0070C0"/>
        </w:rPr>
        <w:lastRenderedPageBreak/>
        <w:t>Decline of the North America avifauna, Science</w:t>
      </w:r>
      <w:r w:rsidR="006F4813">
        <w:rPr>
          <w:rFonts w:eastAsia="Times New Roman"/>
          <w:color w:val="0070C0"/>
        </w:rPr>
        <w:t xml:space="preserve">). </w:t>
      </w:r>
      <w:r w:rsidR="000277C1">
        <w:rPr>
          <w:rFonts w:eastAsia="Times New Roman"/>
          <w:color w:val="0070C0"/>
        </w:rPr>
        <w:t xml:space="preserve">Also, we emphasize on the fact that better understanding the link between abundance and </w:t>
      </w:r>
      <w:r w:rsidR="008A26E5">
        <w:rPr>
          <w:rFonts w:eastAsia="Times New Roman"/>
          <w:color w:val="0070C0"/>
        </w:rPr>
        <w:t>incidence-based</w:t>
      </w:r>
      <w:r w:rsidR="000277C1">
        <w:rPr>
          <w:rFonts w:eastAsia="Times New Roman"/>
          <w:color w:val="0070C0"/>
        </w:rPr>
        <w:t xml:space="preserve"> metric should be explored </w:t>
      </w:r>
      <w:r w:rsidR="00341C7C">
        <w:rPr>
          <w:rFonts w:eastAsia="Times New Roman"/>
          <w:color w:val="0070C0"/>
        </w:rPr>
        <w:t>L297-301</w:t>
      </w:r>
      <w:r w:rsidR="000277C1">
        <w:rPr>
          <w:rFonts w:eastAsia="Times New Roman"/>
          <w:color w:val="0070C0"/>
        </w:rPr>
        <w:t>:</w:t>
      </w:r>
    </w:p>
    <w:p w14:paraId="0A5E3496" w14:textId="5B141A22" w:rsidR="000277C1" w:rsidRDefault="000277C1" w:rsidP="000277C1">
      <w:pPr>
        <w:spacing w:after="0"/>
        <w:ind w:left="720"/>
        <w:rPr>
          <w:rFonts w:eastAsia="Times New Roman"/>
          <w:color w:val="0070C0"/>
        </w:rPr>
      </w:pPr>
    </w:p>
    <w:p w14:paraId="2C655128" w14:textId="24DF9DE3" w:rsidR="00837892" w:rsidRDefault="000277C1" w:rsidP="00CE4563">
      <w:pPr>
        <w:spacing w:after="0"/>
        <w:ind w:left="1440"/>
        <w:rPr>
          <w:rFonts w:eastAsia="Times New Roman"/>
          <w:i/>
          <w:iCs/>
          <w:color w:val="0070C0"/>
        </w:rPr>
      </w:pPr>
      <w:r w:rsidRPr="000277C1">
        <w:rPr>
          <w:rFonts w:eastAsia="Times New Roman"/>
          <w:i/>
          <w:iCs/>
          <w:color w:val="0070C0"/>
        </w:rPr>
        <w:t>“</w:t>
      </w:r>
      <w:r w:rsidRPr="000277C1">
        <w:rPr>
          <w:i/>
          <w:iCs/>
          <w:color w:val="0070C0"/>
        </w:rPr>
        <w:t xml:space="preserve">We stress that those abundance-based metrics show clear decline </w:t>
      </w:r>
      <w:r w:rsidRPr="000277C1">
        <w:rPr>
          <w:i/>
          <w:iCs/>
          <w:color w:val="0070C0"/>
        </w:rPr>
        <w:fldChar w:fldCharType="begin"/>
      </w:r>
      <w:r w:rsidRPr="000277C1">
        <w:rPr>
          <w:i/>
          <w:iCs/>
          <w:color w:val="0070C0"/>
        </w:rPr>
        <w:instrText xml:space="preserve"> ADDIN ZOTERO_ITEM CSL_CITATION {"citationID":"ZwfiKxV7","properties":{"formattedCitation":"(Barnagaud et al., 2017; Burns et al., 2021; La Sorte &amp; Boecklen, 2005; Rosenberg et al., 2019)","plainCitation":"(Barnagaud et al., 2017; Burns et al., 2021; La Sorte &amp; Boecklen, 2005; Rosenberg et al., 2019)","noteIndex":0},"citationItems":[{"id":416,"uris":["http://zotero.org/users/6714553/items/P7GKJZXC"],"itemData":{"id":416,"type":"article-journal","abstract":"Global changes are modifying the structure of species assemblages, but the generality of resulting diversity patterns and of their drivers is poorly understood. Any such changes can be detected and explained by comparing temporal trends in taxonomic and functional diversity over broad spatial extents. In this study, we addressed three complementary questions: How did bird taxonomic and functional diversity change over the past 40 years in the conterminous United States? Are these trends non-linear? Can temporal variations in functional diversity be explained by broad-scale changes in climate and vegetation productivity? We quantified changes in taxonomic and functional diversity for 807 bird assemblages over the past four decades (1970–2011) considering a suite of 16 ecological traits for 435 species. We found increases in local bird species richness and taxonomic equitability that plateaued in the early 2000’s while total abundance declined over the whole period. Functional richness, the total range of traits in an assemblage, increased due to the rising prevalence of species with atypical life-history strategies and under-represented habitat or trophic preferences. However, these species did not trigger major changes in the functional composition of bird assemblages. Inter-annual variations in climate and primary productivity explained the richness of bird life-history traits in local assemblages, suggesting that these traits are influenced by broad-scale environmental factors, while others respond more to more local drivers. Our results highlight that a comparative analysis of the multiple facets of functional diversity can raise novel insights on processes underlying temporal trends in biodiversity.","container-title":"Oecologia","DOI":"10.1007/s00442-017-3967-4","ISSN":"1432-1939","issue":"4","journalAbbreviation":"Oecologia","language":"en","page":"737-748","source":"Springer Link","title":"Temporal changes in bird functional diversity across the United States","URL":"https://doi.org/10.1007/s00442-017-3967-4","volume":"185","author":[{"family":"Barnagaud","given":"Jean-Yves"},{"family":"Gaüzère","given":"Pierre"},{"family":"Zuckerberg","given":"Benjamin"},{"family":"Princé","given":"Karine"},{"family":"Svenning","given":"Jens-Christian"}],"accessed":{"date-parts":[["2021",8,11]]},"issued":{"date-parts":[["2017",12,1]]}}},{"id":1593,"uris":["http://zotero.org/users/6714553/items/FEJHVAWZ"],"itemData":{"id":1593,"type":"article-journal","abstract":"Although global assessments provide evidence of biodiversity decline, some have questioned the strength of the evidence, with local assemblage studies often showing a more balanced picture of biodiversity change. The multifaceted nature of biodiversity and imperfect monitoring datasets may partially explain these findings. Here, using an extensive dataset, we find significant biodiversity loss in the native avifauna of the European Union (EU). We estimate a decline of 17–19% in the overall breeding bird abundance since 1980: a loss of 560–620 million individual birds. Both total and proportional declines in bird numbers are high among species associated with agricultural land. The distribution of species’ population growth rates (ln) is centered close to zero, with numerical decline driven by substantial losses in abundant species. Our work supports previous assessments indicating substantial recent biodiversity loss and calls to reduce the threat of extinctions and restore species’ abundances, for the sake of nature and people.","container-title":"Ecology and Evolution","DOI":"10.1002/ece3.8282","ISSN":"2045-7758","issue":"23","language":"en","note":"_eprint: https://onlinelibrary.wiley.com/doi/pdf/10.1002/ece3.8282","page":"16647-16660","source":"Wiley Online Library","title":"Abundance decline in the avifauna of the European Union reveals cross-continental similarities in biodiversity change","URL":"https://onlinelibrary.wiley.com/doi/abs/10.1002/ece3.8282","volume":"11","author":[{"family":"Burns","given":"Fiona"},{"family":"Eaton","given":"Mark A."},{"family":"Burfield","given":"Ian J."},{"family":"Klvaňová","given":"Alena"},{"family":"Šilarová","given":"Eva"},{"family":"Staneva","given":"Anna"},{"family":"Gregory","given":"Richard D."}],"accessed":{"date-parts":[["2023",2,14]]},"issued":{"date-parts":[["2021"]]}}},{"id":384,"uris":["http://zotero.org/users/6714553/items/HP3N27E3"],"itemData":{"id":384,"type":"article-journal","abstract":"Aim To determine the major patterns of change in avian diversity structure over space and time at a local resolution and continental extent in non-urban areas in North America. Location The contiguous United States and southern Canada. Methods We used 1673 North American Breeding Bird Survey (BBS) routes containing 547 terrestrial and aquatic species to estimate four diversity components: species richness, individual abundance, taxonomic distinctness and species evenness. We implemented three levels of analysis to examine changes in diversity structure on a yearly basis from 1968 to 2003: (1) a canonical analysis of discriminance, (2) a univariate analysis across BBS routes, and (3) a univariate analysis at individual BBS routes. We estimated changes in similarity in species composition over time between 470,730 BBS route pairs. We also estimated the level of human activity at BBS routes using three spatial anthropogenic databases. Results BBS routes were located in non-urban areas in association with low nighttime light activity and moderately low human population densities. The analysis of diversity structure indicated the presence of two independent patterns: (1) a temporally consistent pattern defined by increasing species richness (12% increase from 1968 to 2003) associated with limited gains in taxonomic distinctness, and (2) an association between species abundance and evenness related to variability in abundance associated with the most abundant species. The similarity analysis indicated that BBS routes located closer to the Atlantic and the Pacific coasts of the United States experienced the strongest patterns of homogenization of species composition. Main conclusions Our results suggest that avian diversity structure has changed at the local scale in non-urban areas in North America. However, there was no evidence for a consistent continent-wide pattern. Instead, the evidence pointed to the presence of regional factors influencing diversity patterns. This study provides a foundation for more detailed investigations of the spatiotemporal and taxonomic details of these general patterns.","container-title":"Global Ecology and Biogeography","DOI":"10.1111/j.1466-822X.2005.00160.x","ISSN":"1466-8238","issue":"4","language":"en","note":"_eprint: https://onlinelibrary.wiley.com/doi/pdf/10.1111/j.1466-822X.2005.00160.x","page":"367-378","source":"Wiley Online Library","title":"Changes in the diversity structure of avian assemblages in North America","URL":"https://onlinelibrary.wiley.com/doi/abs/10.1111/j.1466-822X.2005.00160.x","volume":"14","author":[{"family":"La Sorte","given":"Frank A."},{"family":"Boecklen","given":"William J."}],"accessed":{"date-parts":[["2021",9,6]]},"issued":{"date-parts":[["2005"]]}}},{"id":362,"uris":["http://zotero.org/users/6714553/items/NQPS7XSN"],"itemData":{"id":362,"type":"article-journal","abstract":"Staggering decline of bird populations\nBecause birds are conspicuous and easy to identify and count, reliable records of their occurrence have been gathered over many decades in many parts of the world. Drawing on such data for North America, Rosenberg et al. report wide-spread population declines of birds over the past half-century, resulting in the cumulative loss of billions of breeding individuals across a wide range of species and habitats. They show that declines are not restricted to rare and threatened species—those once considered common and wide-spread are also diminished. These results have major implications for ecosystem integrity, the conservation of wildlife more broadly, and policies associated with the protection of birds and native ecosystems on which they depend.\nScience, this issue p. 120\nThe cumulative loss of nearly 3 billion birds since 1970 across North American biomes signals a continuing avifaunal crisis.\nThe cumulative loss of nearly 3 billion birds since 1970 across North American biomes signals a continuing avifaunal crisis.","container-title":"Science","DOI":"10.1126/science.aaw1313","ISSN":"0036-8075, 1095-9203","issue":"6461","language":"en","license":"Copyright © 2019 The Authors, some rights reserved; exclusive licensee American Association for the Advancement of Science. No claim to original U.S. Government Works. http://www.sciencemag.org/about/science-licenses-journal-article-reuseThis is an article distributed under the terms of the Science Journals Default License.","note":"publisher: American Association for the Advancement of Science\nsection: Report\nPMID: 31604313","page":"120-124","source":"science.sciencemag.org","title":"Decline of the North American avifauna","URL":"https://science.sciencemag.org/content/366/6461/120","volume":"366","author":[{"family":"Rosenberg","given":"Kenneth V."},{"family":"Dokter","given":"Adriaan M."},{"family":"Blancher","given":"Peter J."},{"family":"Sauer","given":"John R."},{"family":"Smith","given":"Adam C."},{"family":"Smith","given":"Paul A."},{"family":"Stanton","given":"Jessica C."},{"family":"Panjabi","given":"Arvind"},{"family":"Helft","given":"Laura"},{"family":"Parr","given":"Michael"},{"family":"Marra","given":"Peter P."}],"accessed":{"date-parts":[["2021",1,26]]},"issued":{"date-parts":[["2019",10,4]]}}}],"schema":"https://github.com/citation-style-language/schema/raw/master/csl-citation.json"} </w:instrText>
      </w:r>
      <w:r w:rsidRPr="000277C1">
        <w:rPr>
          <w:i/>
          <w:iCs/>
          <w:color w:val="0070C0"/>
        </w:rPr>
        <w:fldChar w:fldCharType="separate"/>
      </w:r>
      <w:r w:rsidRPr="000277C1">
        <w:rPr>
          <w:i/>
          <w:iCs/>
          <w:color w:val="0070C0"/>
        </w:rPr>
        <w:t>(Barnagaud et al., 2017; Burns et al., 2021; La Sorte &amp; Boecklen, 2005; Rosenberg et al., 2019)</w:t>
      </w:r>
      <w:r w:rsidRPr="000277C1">
        <w:rPr>
          <w:i/>
          <w:iCs/>
          <w:color w:val="0070C0"/>
        </w:rPr>
        <w:fldChar w:fldCharType="end"/>
      </w:r>
      <w:r w:rsidRPr="000277C1">
        <w:rPr>
          <w:i/>
          <w:iCs/>
          <w:color w:val="0070C0"/>
        </w:rPr>
        <w:t>, confirming that increases of incidence-based metrics can be observed together with decreases of abundances</w:t>
      </w:r>
      <w:r w:rsidRPr="000277C1">
        <w:rPr>
          <w:i/>
          <w:iCs/>
        </w:rPr>
        <w:t xml:space="preserve">. </w:t>
      </w:r>
      <w:r w:rsidRPr="0004447D">
        <w:rPr>
          <w:i/>
          <w:iCs/>
          <w:color w:val="0070C0"/>
        </w:rPr>
        <w:t>Also, we see an opportunity for future comparisons of trends of both species-based and non species-based metrics in order to better understand how they influence each other’s.</w:t>
      </w:r>
      <w:r w:rsidRPr="000277C1">
        <w:rPr>
          <w:rFonts w:eastAsia="Times New Roman"/>
          <w:i/>
          <w:iCs/>
          <w:color w:val="0070C0"/>
        </w:rPr>
        <w:t>”</w:t>
      </w:r>
    </w:p>
    <w:p w14:paraId="7A6F325F" w14:textId="16EC514A" w:rsidR="0004447D" w:rsidRDefault="0004447D" w:rsidP="0004447D">
      <w:pPr>
        <w:spacing w:after="0"/>
        <w:rPr>
          <w:rFonts w:eastAsia="Times New Roman"/>
          <w:i/>
          <w:iCs/>
          <w:color w:val="0070C0"/>
        </w:rPr>
      </w:pPr>
    </w:p>
    <w:p w14:paraId="02F73138" w14:textId="2CDBE38F" w:rsidR="0004447D" w:rsidRPr="0004447D" w:rsidRDefault="0004447D" w:rsidP="0004447D">
      <w:pPr>
        <w:spacing w:after="0" w:line="276" w:lineRule="auto"/>
        <w:rPr>
          <w:rStyle w:val="Strong"/>
        </w:rPr>
      </w:pPr>
      <w:r w:rsidRPr="0004447D">
        <w:rPr>
          <w:rStyle w:val="Strong"/>
        </w:rPr>
        <w:t>References</w:t>
      </w:r>
    </w:p>
    <w:p w14:paraId="6B943577" w14:textId="77777777" w:rsidR="0004447D" w:rsidRPr="0004447D" w:rsidRDefault="0004447D" w:rsidP="0004447D">
      <w:pPr>
        <w:pStyle w:val="Bibliography"/>
        <w:spacing w:line="276" w:lineRule="auto"/>
        <w:rPr>
          <w:rFonts w:ascii="Calibri" w:hAnsi="Calibri" w:cs="Calibri"/>
        </w:rPr>
      </w:pPr>
      <w:r>
        <w:rPr>
          <w:rFonts w:eastAsia="Times New Roman"/>
          <w:color w:val="0070C0"/>
        </w:rPr>
        <w:fldChar w:fldCharType="begin"/>
      </w:r>
      <w:r>
        <w:rPr>
          <w:rFonts w:eastAsia="Times New Roman"/>
          <w:color w:val="0070C0"/>
        </w:rPr>
        <w:instrText xml:space="preserve"> ADDIN ZOTERO_BIBL {"uncited":[],"omitted":[],"custom":[]} CSL_BIBLIOGRAPHY </w:instrText>
      </w:r>
      <w:r>
        <w:rPr>
          <w:rFonts w:eastAsia="Times New Roman"/>
          <w:color w:val="0070C0"/>
        </w:rPr>
        <w:fldChar w:fldCharType="separate"/>
      </w:r>
      <w:r w:rsidRPr="0004447D">
        <w:rPr>
          <w:rFonts w:ascii="Calibri" w:hAnsi="Calibri" w:cs="Calibri"/>
        </w:rPr>
        <w:t xml:space="preserve">Barnagaud, J.-Y., Gaüzère, P., Zuckerberg, B., Princé, K., &amp; Svenning, J.-C. (2017). Temporal changes in bird functional diversity across the United States. </w:t>
      </w:r>
      <w:r w:rsidRPr="0004447D">
        <w:rPr>
          <w:rFonts w:ascii="Calibri" w:hAnsi="Calibri" w:cs="Calibri"/>
          <w:i/>
          <w:iCs/>
        </w:rPr>
        <w:t>Oecologia</w:t>
      </w:r>
      <w:r w:rsidRPr="0004447D">
        <w:rPr>
          <w:rFonts w:ascii="Calibri" w:hAnsi="Calibri" w:cs="Calibri"/>
        </w:rPr>
        <w:t xml:space="preserve">, </w:t>
      </w:r>
      <w:r w:rsidRPr="0004447D">
        <w:rPr>
          <w:rFonts w:ascii="Calibri" w:hAnsi="Calibri" w:cs="Calibri"/>
          <w:i/>
          <w:iCs/>
        </w:rPr>
        <w:t>185</w:t>
      </w:r>
      <w:r w:rsidRPr="0004447D">
        <w:rPr>
          <w:rFonts w:ascii="Calibri" w:hAnsi="Calibri" w:cs="Calibri"/>
        </w:rPr>
        <w:t>(4), 737–748. https://doi.org/10.1007/s00442-017-3967-4</w:t>
      </w:r>
    </w:p>
    <w:p w14:paraId="2FD40E0B" w14:textId="77777777" w:rsidR="0004447D" w:rsidRPr="0004447D" w:rsidRDefault="0004447D" w:rsidP="0004447D">
      <w:pPr>
        <w:pStyle w:val="Bibliography"/>
        <w:spacing w:line="276" w:lineRule="auto"/>
        <w:rPr>
          <w:rFonts w:ascii="Calibri" w:hAnsi="Calibri" w:cs="Calibri"/>
        </w:rPr>
      </w:pPr>
      <w:r w:rsidRPr="0004447D">
        <w:rPr>
          <w:rFonts w:ascii="Calibri" w:hAnsi="Calibri" w:cs="Calibri"/>
        </w:rPr>
        <w:t xml:space="preserve">Burns, F., Eaton, M. A., Burfield, I. J., Klvaňová, A., Šilarová, E., Staneva, A., &amp; Gregory, R. D. (2021). Abundance decline in the avifauna of the European Union reveals cross-continental similarities in biodiversity change. </w:t>
      </w:r>
      <w:r w:rsidRPr="0004447D">
        <w:rPr>
          <w:rFonts w:ascii="Calibri" w:hAnsi="Calibri" w:cs="Calibri"/>
          <w:i/>
          <w:iCs/>
        </w:rPr>
        <w:t>Ecology and Evolution</w:t>
      </w:r>
      <w:r w:rsidRPr="0004447D">
        <w:rPr>
          <w:rFonts w:ascii="Calibri" w:hAnsi="Calibri" w:cs="Calibri"/>
        </w:rPr>
        <w:t xml:space="preserve">, </w:t>
      </w:r>
      <w:r w:rsidRPr="0004447D">
        <w:rPr>
          <w:rFonts w:ascii="Calibri" w:hAnsi="Calibri" w:cs="Calibri"/>
          <w:i/>
          <w:iCs/>
        </w:rPr>
        <w:t>11</w:t>
      </w:r>
      <w:r w:rsidRPr="0004447D">
        <w:rPr>
          <w:rFonts w:ascii="Calibri" w:hAnsi="Calibri" w:cs="Calibri"/>
        </w:rPr>
        <w:t>(23), 16647–16660. https://doi.org/10.1002/ece3.8282</w:t>
      </w:r>
    </w:p>
    <w:p w14:paraId="752B808D" w14:textId="77777777" w:rsidR="0004447D" w:rsidRPr="0004447D" w:rsidRDefault="0004447D" w:rsidP="0004447D">
      <w:pPr>
        <w:pStyle w:val="Bibliography"/>
        <w:spacing w:line="276" w:lineRule="auto"/>
        <w:rPr>
          <w:rFonts w:ascii="Calibri" w:hAnsi="Calibri" w:cs="Calibri"/>
        </w:rPr>
      </w:pPr>
      <w:r w:rsidRPr="0004447D">
        <w:rPr>
          <w:rFonts w:ascii="Calibri" w:hAnsi="Calibri" w:cs="Calibri"/>
        </w:rPr>
        <w:t xml:space="preserve">Chase, J. M., McGill, B. J., Thompson, P. L., Antão, L. H., Bates, A. E., Blowes, S. A., Dornelas, M., Gonzalez, A., Magurran, A. E., Supp, S. R., Winter, M., Bjorkman, A. D., Bruelheide, H., Byrnes, J. E. K., Cabral, J. S., Elahi, R., Gomez, C., Guzman, H. M., Isbell, F., … O’Connor, M. (2019). Species richness change across spatial scales. </w:t>
      </w:r>
      <w:r w:rsidRPr="0004447D">
        <w:rPr>
          <w:rFonts w:ascii="Calibri" w:hAnsi="Calibri" w:cs="Calibri"/>
          <w:i/>
          <w:iCs/>
        </w:rPr>
        <w:t>Oikos</w:t>
      </w:r>
      <w:r w:rsidRPr="0004447D">
        <w:rPr>
          <w:rFonts w:ascii="Calibri" w:hAnsi="Calibri" w:cs="Calibri"/>
        </w:rPr>
        <w:t xml:space="preserve">, </w:t>
      </w:r>
      <w:r w:rsidRPr="0004447D">
        <w:rPr>
          <w:rFonts w:ascii="Calibri" w:hAnsi="Calibri" w:cs="Calibri"/>
          <w:i/>
          <w:iCs/>
        </w:rPr>
        <w:t>128</w:t>
      </w:r>
      <w:r w:rsidRPr="0004447D">
        <w:rPr>
          <w:rFonts w:ascii="Calibri" w:hAnsi="Calibri" w:cs="Calibri"/>
        </w:rPr>
        <w:t>(8), 1079–1091. https://doi.org/10.1111/oik.05968</w:t>
      </w:r>
    </w:p>
    <w:p w14:paraId="20EFA925" w14:textId="77777777" w:rsidR="0004447D" w:rsidRPr="0004447D" w:rsidRDefault="0004447D" w:rsidP="0004447D">
      <w:pPr>
        <w:pStyle w:val="Bibliography"/>
        <w:spacing w:line="276" w:lineRule="auto"/>
        <w:rPr>
          <w:rFonts w:ascii="Calibri" w:hAnsi="Calibri" w:cs="Calibri"/>
          <w:lang w:val="fr-FR"/>
        </w:rPr>
      </w:pPr>
      <w:r w:rsidRPr="0004447D">
        <w:rPr>
          <w:rFonts w:ascii="Calibri" w:hAnsi="Calibri" w:cs="Calibri"/>
          <w:lang w:val="fr-FR"/>
        </w:rPr>
        <w:t xml:space="preserve">Jarzyna, M. A., &amp; Jetz, W. (2018). </w:t>
      </w:r>
      <w:r w:rsidRPr="0004447D">
        <w:rPr>
          <w:rFonts w:ascii="Calibri" w:hAnsi="Calibri" w:cs="Calibri"/>
        </w:rPr>
        <w:t xml:space="preserve">Taxonomic and functional diversity change is scale dependent. </w:t>
      </w:r>
      <w:r w:rsidRPr="0004447D">
        <w:rPr>
          <w:rFonts w:ascii="Calibri" w:hAnsi="Calibri" w:cs="Calibri"/>
          <w:i/>
          <w:iCs/>
          <w:lang w:val="fr-FR"/>
        </w:rPr>
        <w:t>Nature Communications</w:t>
      </w:r>
      <w:r w:rsidRPr="0004447D">
        <w:rPr>
          <w:rFonts w:ascii="Calibri" w:hAnsi="Calibri" w:cs="Calibri"/>
          <w:lang w:val="fr-FR"/>
        </w:rPr>
        <w:t xml:space="preserve">, </w:t>
      </w:r>
      <w:r w:rsidRPr="0004447D">
        <w:rPr>
          <w:rFonts w:ascii="Calibri" w:hAnsi="Calibri" w:cs="Calibri"/>
          <w:i/>
          <w:iCs/>
          <w:lang w:val="fr-FR"/>
        </w:rPr>
        <w:t>9</w:t>
      </w:r>
      <w:r w:rsidRPr="0004447D">
        <w:rPr>
          <w:rFonts w:ascii="Calibri" w:hAnsi="Calibri" w:cs="Calibri"/>
          <w:lang w:val="fr-FR"/>
        </w:rPr>
        <w:t>(1), 2565. https://doi.org/10.1038/s41467-018-04889-z</w:t>
      </w:r>
    </w:p>
    <w:p w14:paraId="2538B71A" w14:textId="77777777" w:rsidR="0004447D" w:rsidRPr="0004447D" w:rsidRDefault="0004447D" w:rsidP="0004447D">
      <w:pPr>
        <w:pStyle w:val="Bibliography"/>
        <w:spacing w:line="276" w:lineRule="auto"/>
        <w:rPr>
          <w:rFonts w:ascii="Calibri" w:hAnsi="Calibri" w:cs="Calibri"/>
        </w:rPr>
      </w:pPr>
      <w:r w:rsidRPr="0004447D">
        <w:rPr>
          <w:rFonts w:ascii="Calibri" w:hAnsi="Calibri" w:cs="Calibri"/>
          <w:lang w:val="fr-FR"/>
        </w:rPr>
        <w:t xml:space="preserve">Jarzyna, M. A., Zuckerberg, B., Porter, W. F., Finley, A. O., &amp; Maurer, B. A. (2015). </w:t>
      </w:r>
      <w:r w:rsidRPr="0004447D">
        <w:rPr>
          <w:rFonts w:ascii="Calibri" w:hAnsi="Calibri" w:cs="Calibri"/>
        </w:rPr>
        <w:t xml:space="preserve">Spatial scaling of temporal changes in avian communities: Scale dependence of community turnover. </w:t>
      </w:r>
      <w:r w:rsidRPr="0004447D">
        <w:rPr>
          <w:rFonts w:ascii="Calibri" w:hAnsi="Calibri" w:cs="Calibri"/>
          <w:i/>
          <w:iCs/>
        </w:rPr>
        <w:t>Global Ecology and Biogeography</w:t>
      </w:r>
      <w:r w:rsidRPr="0004447D">
        <w:rPr>
          <w:rFonts w:ascii="Calibri" w:hAnsi="Calibri" w:cs="Calibri"/>
        </w:rPr>
        <w:t xml:space="preserve">, </w:t>
      </w:r>
      <w:r w:rsidRPr="0004447D">
        <w:rPr>
          <w:rFonts w:ascii="Calibri" w:hAnsi="Calibri" w:cs="Calibri"/>
          <w:i/>
          <w:iCs/>
        </w:rPr>
        <w:t>24</w:t>
      </w:r>
      <w:r w:rsidRPr="0004447D">
        <w:rPr>
          <w:rFonts w:ascii="Calibri" w:hAnsi="Calibri" w:cs="Calibri"/>
        </w:rPr>
        <w:t>(11), 1236–1248. https://doi.org/10.1111/geb.12361</w:t>
      </w:r>
    </w:p>
    <w:p w14:paraId="0BD51EF0" w14:textId="77777777" w:rsidR="0004447D" w:rsidRPr="0004447D" w:rsidRDefault="0004447D" w:rsidP="0004447D">
      <w:pPr>
        <w:pStyle w:val="Bibliography"/>
        <w:spacing w:line="276" w:lineRule="auto"/>
        <w:rPr>
          <w:rFonts w:ascii="Calibri" w:hAnsi="Calibri" w:cs="Calibri"/>
        </w:rPr>
      </w:pPr>
      <w:r w:rsidRPr="0004447D">
        <w:rPr>
          <w:rFonts w:ascii="Calibri" w:hAnsi="Calibri" w:cs="Calibri"/>
        </w:rPr>
        <w:t xml:space="preserve">Keil, P., Pereira, H. M., Cabral, J. S., Chase, J. M., May, F., Martins, I. S., &amp; Winter, M. (2018). Spatial scaling of extinction rates: Theory and data reveal nonlinearity and a major upscaling and downscaling challenge. </w:t>
      </w:r>
      <w:r w:rsidRPr="0004447D">
        <w:rPr>
          <w:rFonts w:ascii="Calibri" w:hAnsi="Calibri" w:cs="Calibri"/>
          <w:i/>
          <w:iCs/>
        </w:rPr>
        <w:t>Global Ecology and Biogeography</w:t>
      </w:r>
      <w:r w:rsidRPr="0004447D">
        <w:rPr>
          <w:rFonts w:ascii="Calibri" w:hAnsi="Calibri" w:cs="Calibri"/>
        </w:rPr>
        <w:t xml:space="preserve">, </w:t>
      </w:r>
      <w:r w:rsidRPr="0004447D">
        <w:rPr>
          <w:rFonts w:ascii="Calibri" w:hAnsi="Calibri" w:cs="Calibri"/>
          <w:i/>
          <w:iCs/>
        </w:rPr>
        <w:t>27</w:t>
      </w:r>
      <w:r w:rsidRPr="0004447D">
        <w:rPr>
          <w:rFonts w:ascii="Calibri" w:hAnsi="Calibri" w:cs="Calibri"/>
        </w:rPr>
        <w:t>(1), 2–13. https://doi.org/10.1111/geb.12669</w:t>
      </w:r>
    </w:p>
    <w:p w14:paraId="0A10A366" w14:textId="77777777" w:rsidR="0004447D" w:rsidRPr="0004447D" w:rsidRDefault="0004447D" w:rsidP="0004447D">
      <w:pPr>
        <w:pStyle w:val="Bibliography"/>
        <w:spacing w:line="276" w:lineRule="auto"/>
        <w:rPr>
          <w:rFonts w:ascii="Calibri" w:hAnsi="Calibri" w:cs="Calibri"/>
        </w:rPr>
      </w:pPr>
      <w:r w:rsidRPr="0004447D">
        <w:rPr>
          <w:rFonts w:ascii="Calibri" w:hAnsi="Calibri" w:cs="Calibri"/>
        </w:rPr>
        <w:t xml:space="preserve">La Sorte, F. A., &amp; Boecklen, W. J. (2005). Changes in the diversity structure of avian assemblages in North America. </w:t>
      </w:r>
      <w:r w:rsidRPr="0004447D">
        <w:rPr>
          <w:rFonts w:ascii="Calibri" w:hAnsi="Calibri" w:cs="Calibri"/>
          <w:i/>
          <w:iCs/>
        </w:rPr>
        <w:t>Global Ecology and Biogeography</w:t>
      </w:r>
      <w:r w:rsidRPr="0004447D">
        <w:rPr>
          <w:rFonts w:ascii="Calibri" w:hAnsi="Calibri" w:cs="Calibri"/>
        </w:rPr>
        <w:t xml:space="preserve">, </w:t>
      </w:r>
      <w:r w:rsidRPr="0004447D">
        <w:rPr>
          <w:rFonts w:ascii="Calibri" w:hAnsi="Calibri" w:cs="Calibri"/>
          <w:i/>
          <w:iCs/>
        </w:rPr>
        <w:t>14</w:t>
      </w:r>
      <w:r w:rsidRPr="0004447D">
        <w:rPr>
          <w:rFonts w:ascii="Calibri" w:hAnsi="Calibri" w:cs="Calibri"/>
        </w:rPr>
        <w:t>(4), 367–378. https://doi.org/10.1111/j.1466-822X.2005.00160.x</w:t>
      </w:r>
    </w:p>
    <w:p w14:paraId="3B593B19" w14:textId="77777777" w:rsidR="0004447D" w:rsidRPr="0004447D" w:rsidRDefault="0004447D" w:rsidP="0004447D">
      <w:pPr>
        <w:pStyle w:val="Bibliography"/>
        <w:spacing w:line="276" w:lineRule="auto"/>
        <w:rPr>
          <w:rFonts w:ascii="Calibri" w:hAnsi="Calibri" w:cs="Calibri"/>
        </w:rPr>
      </w:pPr>
      <w:r w:rsidRPr="0004447D">
        <w:rPr>
          <w:rFonts w:ascii="Calibri" w:hAnsi="Calibri" w:cs="Calibri"/>
        </w:rPr>
        <w:t xml:space="preserve">Rosenberg, K. V., Dokter, A. M., Blancher, P. J., Sauer, J. R., Smith, A. C., Smith, P. A., Stanton, J. C., Panjabi, A., Helft, L., Parr, M., &amp; Marra, P. P. (2019). Decline of the North American avifauna. </w:t>
      </w:r>
      <w:r w:rsidRPr="0004447D">
        <w:rPr>
          <w:rFonts w:ascii="Calibri" w:hAnsi="Calibri" w:cs="Calibri"/>
          <w:i/>
          <w:iCs/>
        </w:rPr>
        <w:t>Science</w:t>
      </w:r>
      <w:r w:rsidRPr="0004447D">
        <w:rPr>
          <w:rFonts w:ascii="Calibri" w:hAnsi="Calibri" w:cs="Calibri"/>
        </w:rPr>
        <w:t xml:space="preserve">, </w:t>
      </w:r>
      <w:r w:rsidRPr="0004447D">
        <w:rPr>
          <w:rFonts w:ascii="Calibri" w:hAnsi="Calibri" w:cs="Calibri"/>
          <w:i/>
          <w:iCs/>
        </w:rPr>
        <w:t>366</w:t>
      </w:r>
      <w:r w:rsidRPr="0004447D">
        <w:rPr>
          <w:rFonts w:ascii="Calibri" w:hAnsi="Calibri" w:cs="Calibri"/>
        </w:rPr>
        <w:t>(6461), 120–124. https://doi.org/10.1126/science.aaw1313</w:t>
      </w:r>
    </w:p>
    <w:p w14:paraId="74E40513" w14:textId="556121BC" w:rsidR="0004447D" w:rsidRPr="0004447D" w:rsidRDefault="0004447D" w:rsidP="0004447D">
      <w:pPr>
        <w:spacing w:after="0" w:line="276" w:lineRule="auto"/>
        <w:rPr>
          <w:rFonts w:eastAsia="Times New Roman"/>
          <w:color w:val="0070C0"/>
        </w:rPr>
      </w:pPr>
      <w:r>
        <w:rPr>
          <w:rFonts w:eastAsia="Times New Roman"/>
          <w:color w:val="0070C0"/>
        </w:rPr>
        <w:fldChar w:fldCharType="end"/>
      </w:r>
    </w:p>
    <w:sectPr w:rsidR="0004447D" w:rsidRPr="0004447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6BF"/>
    <w:rsid w:val="000277C1"/>
    <w:rsid w:val="0004447D"/>
    <w:rsid w:val="000B79D0"/>
    <w:rsid w:val="001A0A19"/>
    <w:rsid w:val="00291DCD"/>
    <w:rsid w:val="002E6C48"/>
    <w:rsid w:val="00316D4A"/>
    <w:rsid w:val="00341C7C"/>
    <w:rsid w:val="00342487"/>
    <w:rsid w:val="003608DB"/>
    <w:rsid w:val="00362100"/>
    <w:rsid w:val="00424CAC"/>
    <w:rsid w:val="00457268"/>
    <w:rsid w:val="0046572C"/>
    <w:rsid w:val="0046584C"/>
    <w:rsid w:val="004A2580"/>
    <w:rsid w:val="004F0989"/>
    <w:rsid w:val="00557D81"/>
    <w:rsid w:val="00590B9C"/>
    <w:rsid w:val="0061138F"/>
    <w:rsid w:val="00684F00"/>
    <w:rsid w:val="006C1CF4"/>
    <w:rsid w:val="006E0820"/>
    <w:rsid w:val="006F4813"/>
    <w:rsid w:val="00703CC4"/>
    <w:rsid w:val="00770485"/>
    <w:rsid w:val="007850B9"/>
    <w:rsid w:val="007B28E8"/>
    <w:rsid w:val="007F3207"/>
    <w:rsid w:val="00837892"/>
    <w:rsid w:val="008A26E5"/>
    <w:rsid w:val="00944EE6"/>
    <w:rsid w:val="00974B85"/>
    <w:rsid w:val="00995AF8"/>
    <w:rsid w:val="009A0763"/>
    <w:rsid w:val="009A34AC"/>
    <w:rsid w:val="00A77774"/>
    <w:rsid w:val="00A8187D"/>
    <w:rsid w:val="00B41403"/>
    <w:rsid w:val="00C15FCD"/>
    <w:rsid w:val="00C42681"/>
    <w:rsid w:val="00C80ACE"/>
    <w:rsid w:val="00CC0FDE"/>
    <w:rsid w:val="00CE4563"/>
    <w:rsid w:val="00D125F8"/>
    <w:rsid w:val="00D94165"/>
    <w:rsid w:val="00DC1832"/>
    <w:rsid w:val="00E0563D"/>
    <w:rsid w:val="00E25CDA"/>
    <w:rsid w:val="00ED5C61"/>
    <w:rsid w:val="00F07BEE"/>
    <w:rsid w:val="00F1402B"/>
    <w:rsid w:val="00F17630"/>
    <w:rsid w:val="00F17ABB"/>
    <w:rsid w:val="00F8256E"/>
    <w:rsid w:val="00F959C4"/>
    <w:rsid w:val="00FA1334"/>
    <w:rsid w:val="00FD1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F3EE2"/>
  <w15:chartTrackingRefBased/>
  <w15:docId w15:val="{4E9680A9-855E-46E2-944F-E99700A3C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04447D"/>
    <w:pPr>
      <w:spacing w:after="0" w:line="480" w:lineRule="auto"/>
      <w:ind w:left="720" w:hanging="720"/>
    </w:pPr>
  </w:style>
  <w:style w:type="character" w:styleId="Strong">
    <w:name w:val="Strong"/>
    <w:basedOn w:val="DefaultParagraphFont"/>
    <w:uiPriority w:val="22"/>
    <w:qFormat/>
    <w:rsid w:val="000444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791202">
      <w:bodyDiv w:val="1"/>
      <w:marLeft w:val="0"/>
      <w:marRight w:val="0"/>
      <w:marTop w:val="0"/>
      <w:marBottom w:val="0"/>
      <w:divBdr>
        <w:top w:val="none" w:sz="0" w:space="0" w:color="auto"/>
        <w:left w:val="none" w:sz="0" w:space="0" w:color="auto"/>
        <w:bottom w:val="none" w:sz="0" w:space="0" w:color="auto"/>
        <w:right w:val="none" w:sz="0" w:space="0" w:color="auto"/>
      </w:divBdr>
    </w:div>
    <w:div w:id="128622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8FBFB-1420-428A-B927-6709C3A25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1506</TotalTime>
  <Pages>4</Pages>
  <Words>5964</Words>
  <Characters>33997</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Leroy Francois</dc:creator>
  <cp:keywords/>
  <dc:description/>
  <cp:lastModifiedBy>Leroy Francois</cp:lastModifiedBy>
  <cp:revision>42</cp:revision>
  <dcterms:created xsi:type="dcterms:W3CDTF">2023-02-13T12:35:00Z</dcterms:created>
  <dcterms:modified xsi:type="dcterms:W3CDTF">2023-02-23T16:38:00Z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id="JV9zKCdj"/&gt;&lt;style id="http://www.zotero.org/styles/basic-and-applied-ecology"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