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AD8F" w14:textId="43F142DD" w:rsidR="00AE4571" w:rsidRPr="00017662" w:rsidRDefault="00F705D8" w:rsidP="00AE4571">
      <w:r>
        <w:rPr>
          <w:color w:val="000000"/>
        </w:rPr>
        <w:t>We chose this approach over a meta-analysis of magnitude of published trends and their confidence intervals (Gurevitch et al. 2018), and over a statistical synthesis of the raw data behind each article (</w:t>
      </w:r>
      <w:r>
        <w:rPr>
          <w:i/>
          <w:iCs/>
          <w:color w:val="000000"/>
        </w:rPr>
        <w:t>e.g</w:t>
      </w:r>
      <w:r>
        <w:rPr>
          <w:color w:val="000000"/>
        </w:rPr>
        <w:t xml:space="preserve">. as in Blowes et al. 2019) for the following reasons: </w:t>
      </w:r>
      <w:r>
        <w:rPr>
          <w:b/>
          <w:bCs/>
          <w:color w:val="000000"/>
        </w:rPr>
        <w:t xml:space="preserve">1) </w:t>
      </w:r>
      <w:r>
        <w:rPr>
          <w:color w:val="000000"/>
        </w:rPr>
        <w:t xml:space="preserve">the metrics reviewed (n = 12) are conceptually heterogeneous and use hardly comparable units, </w:t>
      </w:r>
      <w:r>
        <w:rPr>
          <w:b/>
          <w:bCs/>
          <w:color w:val="000000"/>
        </w:rPr>
        <w:t xml:space="preserve">2) </w:t>
      </w:r>
      <w:r>
        <w:rPr>
          <w:color w:val="000000"/>
        </w:rPr>
        <w:t xml:space="preserve">datasets used in the articles are not always available, </w:t>
      </w:r>
      <w:r>
        <w:rPr>
          <w:b/>
          <w:bCs/>
          <w:color w:val="000000"/>
        </w:rPr>
        <w:t xml:space="preserve">3) </w:t>
      </w:r>
      <w:r>
        <w:rPr>
          <w:color w:val="000000"/>
        </w:rPr>
        <w:t xml:space="preserve">numerical values of trends are sometimes omitted and only displayed visually and, </w:t>
      </w:r>
      <w:r>
        <w:rPr>
          <w:b/>
          <w:bCs/>
          <w:color w:val="000000"/>
        </w:rPr>
        <w:t>4)</w:t>
      </w:r>
      <w:r>
        <w:rPr>
          <w:color w:val="000000"/>
        </w:rPr>
        <w:t xml:space="preserve"> by simply counting different trends, we were able to include a higher number of studies than in a formal meta-analysis.</w:t>
      </w:r>
    </w:p>
    <w:p w14:paraId="4693DAB6" w14:textId="77777777" w:rsidR="00017662" w:rsidRPr="00017662" w:rsidRDefault="00017662" w:rsidP="00017662">
      <w:pPr>
        <w:spacing w:before="240" w:after="0" w:line="480" w:lineRule="auto"/>
        <w:jc w:val="both"/>
        <w:outlineLvl w:val="0"/>
        <w:rPr>
          <w:rFonts w:ascii="Times New Roman" w:eastAsia="Times New Roman" w:hAnsi="Times New Roman" w:cs="Times New Roman"/>
          <w:b/>
          <w:bCs/>
          <w:kern w:val="36"/>
          <w:sz w:val="48"/>
          <w:szCs w:val="48"/>
        </w:rPr>
      </w:pPr>
      <w:r w:rsidRPr="00017662">
        <w:rPr>
          <w:rFonts w:ascii="Arial" w:eastAsia="Times New Roman" w:hAnsi="Arial" w:cs="Arial"/>
          <w:b/>
          <w:bCs/>
          <w:color w:val="000000"/>
          <w:kern w:val="36"/>
          <w:sz w:val="28"/>
          <w:szCs w:val="28"/>
        </w:rPr>
        <w:t>Some text that we removed but could be useful</w:t>
      </w:r>
    </w:p>
    <w:p w14:paraId="313A63F1" w14:textId="77777777" w:rsidR="00017662" w:rsidRPr="00017662" w:rsidRDefault="00017662" w:rsidP="00017662">
      <w:pPr>
        <w:spacing w:line="240" w:lineRule="auto"/>
        <w:jc w:val="both"/>
        <w:rPr>
          <w:rFonts w:ascii="Times New Roman" w:eastAsia="Times New Roman" w:hAnsi="Times New Roman" w:cs="Times New Roman"/>
          <w:sz w:val="24"/>
          <w:szCs w:val="24"/>
        </w:rPr>
      </w:pPr>
      <w:r w:rsidRPr="00017662">
        <w:rPr>
          <w:rFonts w:ascii="Times New Roman" w:eastAsia="Times New Roman" w:hAnsi="Times New Roman" w:cs="Times New Roman"/>
          <w:color w:val="AEAAAA"/>
          <w:sz w:val="24"/>
          <w:szCs w:val="24"/>
        </w:rPr>
        <w:t>Studying biodiversity can be confusing as there are many ways to measure it. The different metrics and indicators have diverse features, and one should consider which one is the most suited to its study. First, the type of biodiversity studied must be chosen (e.g. taxonomic, functional, phylogenetic diversity). Only then, one must choose the metric(s). Several standardized metrics have been created to assess their populations. Fraixedas et al. (2020) reviewed this wide spectrum of bird biodiversity indicators, without considerations to their link with spatial and temporal grains. </w:t>
      </w:r>
    </w:p>
    <w:p w14:paraId="2818D6A4" w14:textId="77777777" w:rsidR="00017662" w:rsidRPr="00017662" w:rsidRDefault="00017662" w:rsidP="00017662">
      <w:pPr>
        <w:spacing w:line="240" w:lineRule="auto"/>
        <w:jc w:val="both"/>
        <w:rPr>
          <w:rFonts w:ascii="Times New Roman" w:eastAsia="Times New Roman" w:hAnsi="Times New Roman" w:cs="Times New Roman"/>
          <w:sz w:val="24"/>
          <w:szCs w:val="24"/>
        </w:rPr>
      </w:pPr>
      <w:r w:rsidRPr="00017662">
        <w:rPr>
          <w:rFonts w:ascii="Times New Roman" w:eastAsia="Times New Roman" w:hAnsi="Times New Roman" w:cs="Times New Roman"/>
          <w:b/>
          <w:bCs/>
          <w:color w:val="AEAAAA"/>
          <w:sz w:val="24"/>
          <w:szCs w:val="24"/>
        </w:rPr>
        <w:t>What is lacking? (me brainstorming)</w:t>
      </w:r>
    </w:p>
    <w:p w14:paraId="5BEF0CFF" w14:textId="77777777" w:rsidR="00017662" w:rsidRPr="00017662" w:rsidRDefault="00017662" w:rsidP="00017662">
      <w:pPr>
        <w:numPr>
          <w:ilvl w:val="0"/>
          <w:numId w:val="1"/>
        </w:numPr>
        <w:spacing w:line="240" w:lineRule="auto"/>
        <w:jc w:val="both"/>
        <w:textAlignment w:val="baseline"/>
        <w:rPr>
          <w:rFonts w:ascii="Arial" w:eastAsia="Times New Roman" w:hAnsi="Arial" w:cs="Arial"/>
          <w:color w:val="AEAAAA"/>
          <w:sz w:val="20"/>
          <w:szCs w:val="20"/>
        </w:rPr>
      </w:pPr>
      <w:r w:rsidRPr="00017662">
        <w:rPr>
          <w:rFonts w:ascii="Times New Roman" w:eastAsia="Times New Roman" w:hAnsi="Times New Roman" w:cs="Times New Roman"/>
          <w:color w:val="AEAAAA"/>
          <w:sz w:val="24"/>
          <w:szCs w:val="24"/>
        </w:rPr>
        <w:t>There have been numerous empirical studies that report systematic biodiversity trends (REF examples from the table).</w:t>
      </w:r>
    </w:p>
    <w:p w14:paraId="7CD26E0C" w14:textId="77777777" w:rsidR="00017662" w:rsidRPr="00017662" w:rsidRDefault="00017662" w:rsidP="00017662">
      <w:pPr>
        <w:numPr>
          <w:ilvl w:val="0"/>
          <w:numId w:val="1"/>
        </w:numPr>
        <w:spacing w:line="240" w:lineRule="auto"/>
        <w:jc w:val="both"/>
        <w:textAlignment w:val="baseline"/>
        <w:rPr>
          <w:rFonts w:ascii="Arial" w:eastAsia="Times New Roman" w:hAnsi="Arial" w:cs="Arial"/>
          <w:color w:val="AEAAAA"/>
          <w:sz w:val="20"/>
          <w:szCs w:val="20"/>
        </w:rPr>
      </w:pPr>
      <w:r w:rsidRPr="00017662">
        <w:rPr>
          <w:rFonts w:ascii="Times New Roman" w:eastAsia="Times New Roman" w:hAnsi="Times New Roman" w:cs="Times New Roman"/>
          <w:color w:val="AEAAAA"/>
          <w:sz w:val="24"/>
          <w:szCs w:val="24"/>
        </w:rPr>
        <w:t>However, we currently lack a review/synthesis of all this published empirical literature. </w:t>
      </w:r>
    </w:p>
    <w:p w14:paraId="2FD4B347" w14:textId="77777777" w:rsidR="00017662" w:rsidRPr="00017662" w:rsidRDefault="00017662" w:rsidP="00017662">
      <w:pPr>
        <w:numPr>
          <w:ilvl w:val="0"/>
          <w:numId w:val="1"/>
        </w:numPr>
        <w:spacing w:line="240" w:lineRule="auto"/>
        <w:jc w:val="both"/>
        <w:textAlignment w:val="baseline"/>
        <w:rPr>
          <w:rFonts w:ascii="Arial" w:eastAsia="Times New Roman" w:hAnsi="Arial" w:cs="Arial"/>
          <w:color w:val="AEAAAA"/>
          <w:sz w:val="20"/>
          <w:szCs w:val="20"/>
        </w:rPr>
      </w:pPr>
      <w:r w:rsidRPr="00017662">
        <w:rPr>
          <w:rFonts w:ascii="Times New Roman" w:eastAsia="Times New Roman" w:hAnsi="Times New Roman" w:cs="Times New Roman"/>
          <w:color w:val="AEAAAA"/>
          <w:sz w:val="24"/>
          <w:szCs w:val="24"/>
        </w:rPr>
        <w:t>Is there an overall trend that holds across all of the different studies? Where do they come from? Which biodiversity metrics they use? Which scales do they cover.</w:t>
      </w:r>
    </w:p>
    <w:p w14:paraId="0DEE7A72" w14:textId="77777777" w:rsidR="00017662" w:rsidRPr="00017662" w:rsidRDefault="00017662" w:rsidP="00017662">
      <w:pPr>
        <w:numPr>
          <w:ilvl w:val="0"/>
          <w:numId w:val="1"/>
        </w:numPr>
        <w:spacing w:line="240" w:lineRule="auto"/>
        <w:jc w:val="both"/>
        <w:textAlignment w:val="baseline"/>
        <w:rPr>
          <w:rFonts w:ascii="Arial" w:eastAsia="Times New Roman" w:hAnsi="Arial" w:cs="Arial"/>
          <w:color w:val="AEAAAA"/>
          <w:sz w:val="20"/>
          <w:szCs w:val="20"/>
        </w:rPr>
      </w:pPr>
      <w:r w:rsidRPr="00017662">
        <w:rPr>
          <w:rFonts w:ascii="Times New Roman" w:eastAsia="Times New Roman" w:hAnsi="Times New Roman" w:cs="Times New Roman"/>
          <w:color w:val="AEAAAA"/>
          <w:sz w:val="24"/>
          <w:szCs w:val="24"/>
        </w:rPr>
        <w:t>This review will, in part, show how the definition of temporal grain has still no consensus in the scientific literature. </w:t>
      </w:r>
    </w:p>
    <w:p w14:paraId="10DC1E1D" w14:textId="77777777" w:rsidR="00017662" w:rsidRPr="00017662" w:rsidRDefault="00017662" w:rsidP="00017662">
      <w:pPr>
        <w:spacing w:line="240" w:lineRule="auto"/>
        <w:jc w:val="both"/>
        <w:rPr>
          <w:rFonts w:ascii="Times New Roman" w:eastAsia="Times New Roman" w:hAnsi="Times New Roman" w:cs="Times New Roman"/>
          <w:sz w:val="24"/>
          <w:szCs w:val="24"/>
        </w:rPr>
      </w:pPr>
      <w:r w:rsidRPr="00017662">
        <w:rPr>
          <w:rFonts w:ascii="Cambria" w:eastAsia="Times New Roman" w:hAnsi="Cambria" w:cs="Times New Roman"/>
          <w:b/>
          <w:bCs/>
          <w:color w:val="999999"/>
          <w:sz w:val="24"/>
          <w:szCs w:val="24"/>
        </w:rPr>
        <w:t xml:space="preserve">Composite and multi-species indicators. </w:t>
      </w:r>
      <w:r w:rsidRPr="00017662">
        <w:rPr>
          <w:rFonts w:ascii="Cambria" w:eastAsia="Times New Roman" w:hAnsi="Cambria" w:cs="Times New Roman"/>
          <w:color w:val="999999"/>
          <w:sz w:val="24"/>
          <w:szCs w:val="24"/>
        </w:rPr>
        <w:t>The composite indicators are made to summarize several ecosystem information into one informative index. The most known ones are the Red List Index (</w:t>
      </w:r>
      <w:hyperlink r:id="rId5" w:anchor="bookmark=id.1ci93xb" w:history="1">
        <w:r w:rsidRPr="00017662">
          <w:rPr>
            <w:rFonts w:ascii="Cambria" w:eastAsia="Times New Roman" w:hAnsi="Cambria" w:cs="Times New Roman"/>
            <w:color w:val="999999"/>
            <w:sz w:val="24"/>
            <w:szCs w:val="24"/>
            <w:u w:val="single"/>
          </w:rPr>
          <w:t>Stuart H. M. Butchart et al., 2007</w:t>
        </w:r>
      </w:hyperlink>
      <w:r w:rsidRPr="00017662">
        <w:rPr>
          <w:rFonts w:ascii="Cambria" w:eastAsia="Times New Roman" w:hAnsi="Cambria" w:cs="Times New Roman"/>
          <w:color w:val="999999"/>
          <w:sz w:val="24"/>
          <w:szCs w:val="24"/>
        </w:rPr>
        <w:t xml:space="preserve">; </w:t>
      </w:r>
      <w:hyperlink r:id="rId6" w:anchor="bookmark=id.3whwml4" w:history="1">
        <w:r w:rsidRPr="00017662">
          <w:rPr>
            <w:rFonts w:ascii="Cambria" w:eastAsia="Times New Roman" w:hAnsi="Cambria" w:cs="Times New Roman"/>
            <w:color w:val="999999"/>
            <w:sz w:val="24"/>
            <w:szCs w:val="24"/>
            <w:u w:val="single"/>
          </w:rPr>
          <w:t>Stuart H. M. Butchart et al., 2004</w:t>
        </w:r>
      </w:hyperlink>
      <w:r w:rsidRPr="00017662">
        <w:rPr>
          <w:rFonts w:ascii="Cambria" w:eastAsia="Times New Roman" w:hAnsi="Cambria" w:cs="Times New Roman"/>
          <w:color w:val="999999"/>
          <w:sz w:val="24"/>
          <w:szCs w:val="24"/>
        </w:rPr>
        <w:t xml:space="preserve">; </w:t>
      </w:r>
      <w:hyperlink r:id="rId7" w:anchor="bookmark=id.2xcytpi" w:history="1">
        <w:r w:rsidRPr="00017662">
          <w:rPr>
            <w:rFonts w:ascii="Cambria" w:eastAsia="Times New Roman" w:hAnsi="Cambria" w:cs="Times New Roman"/>
            <w:color w:val="999999"/>
            <w:sz w:val="24"/>
            <w:szCs w:val="24"/>
            <w:u w:val="single"/>
          </w:rPr>
          <w:t>S. h. m. Butchart et al., 2005</w:t>
        </w:r>
      </w:hyperlink>
      <w:r w:rsidRPr="00017662">
        <w:rPr>
          <w:rFonts w:ascii="Cambria" w:eastAsia="Times New Roman" w:hAnsi="Cambria" w:cs="Times New Roman"/>
          <w:color w:val="999999"/>
          <w:sz w:val="24"/>
          <w:szCs w:val="24"/>
        </w:rPr>
        <w:t>), the Living Planet Index (</w:t>
      </w:r>
      <w:hyperlink r:id="rId8" w:anchor="bookmark=id.sqyw64" w:history="1">
        <w:r w:rsidRPr="00017662">
          <w:rPr>
            <w:rFonts w:ascii="Cambria" w:eastAsia="Times New Roman" w:hAnsi="Cambria" w:cs="Times New Roman"/>
            <w:color w:val="999999"/>
            <w:sz w:val="24"/>
            <w:szCs w:val="24"/>
            <w:u w:val="single"/>
          </w:rPr>
          <w:t>Loh et al., 2005</w:t>
        </w:r>
      </w:hyperlink>
      <w:r w:rsidRPr="00017662">
        <w:rPr>
          <w:rFonts w:ascii="Cambria" w:eastAsia="Times New Roman" w:hAnsi="Cambria" w:cs="Times New Roman"/>
          <w:color w:val="999999"/>
          <w:sz w:val="24"/>
          <w:szCs w:val="24"/>
        </w:rPr>
        <w:t>) or the Biodiversity Change Index (</w:t>
      </w:r>
      <w:hyperlink r:id="rId9" w:anchor="bookmark=id.25b2l0r" w:history="1">
        <w:r w:rsidRPr="00017662">
          <w:rPr>
            <w:rFonts w:ascii="Cambria" w:eastAsia="Times New Roman" w:hAnsi="Cambria" w:cs="Times New Roman"/>
            <w:color w:val="999999"/>
            <w:sz w:val="24"/>
            <w:szCs w:val="24"/>
            <w:u w:val="single"/>
          </w:rPr>
          <w:t>Normander et al., 2012</w:t>
        </w:r>
      </w:hyperlink>
      <w:r w:rsidRPr="00017662">
        <w:rPr>
          <w:rFonts w:ascii="Cambria" w:eastAsia="Times New Roman" w:hAnsi="Cambria" w:cs="Times New Roman"/>
          <w:color w:val="999999"/>
          <w:sz w:val="24"/>
          <w:szCs w:val="24"/>
        </w:rPr>
        <w:t>).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 (</w:t>
      </w:r>
      <w:hyperlink r:id="rId10" w:anchor="bookmark=id.2grqrue" w:history="1">
        <w:r w:rsidRPr="00017662">
          <w:rPr>
            <w:rFonts w:ascii="Cambria" w:eastAsia="Times New Roman" w:hAnsi="Cambria" w:cs="Times New Roman"/>
            <w:color w:val="999999"/>
            <w:sz w:val="24"/>
            <w:szCs w:val="24"/>
            <w:u w:val="single"/>
          </w:rPr>
          <w:t>Richard D. Gregory et al., 2005</w:t>
        </w:r>
      </w:hyperlink>
      <w:r w:rsidRPr="00017662">
        <w:rPr>
          <w:rFonts w:ascii="Cambria" w:eastAsia="Times New Roman" w:hAnsi="Cambria" w:cs="Times New Roman"/>
          <w:color w:val="999999"/>
          <w:sz w:val="24"/>
          <w:szCs w:val="24"/>
        </w:rPr>
        <w:t xml:space="preserve">). This has led to a proposition of a family of metrics called the multi-species indicators (MSI, </w:t>
      </w:r>
      <w:hyperlink r:id="rId11" w:anchor="bookmark=id.3ygebqi" w:history="1">
        <w:r w:rsidRPr="00017662">
          <w:rPr>
            <w:rFonts w:ascii="Cambria" w:eastAsia="Times New Roman" w:hAnsi="Cambria" w:cs="Times New Roman"/>
            <w:color w:val="999999"/>
            <w:sz w:val="24"/>
            <w:szCs w:val="24"/>
            <w:u w:val="single"/>
          </w:rPr>
          <w:t>Landres, Verner, and Thomas 1988</w:t>
        </w:r>
      </w:hyperlink>
      <w:r w:rsidRPr="00017662">
        <w:rPr>
          <w:rFonts w:ascii="Cambria" w:eastAsia="Times New Roman" w:hAnsi="Cambria" w:cs="Times New Roman"/>
          <w:color w:val="999999"/>
          <w:sz w:val="24"/>
          <w:szCs w:val="24"/>
        </w:rPr>
        <w:t>). Examples are the farmland bird indicator, woodland bird indicator or Wildland Bird Indicator which summarizes the latter two (</w:t>
      </w:r>
      <w:hyperlink r:id="rId12" w:anchor="bookmark=id.41mghml" w:history="1">
        <w:r w:rsidRPr="00017662">
          <w:rPr>
            <w:rFonts w:ascii="Cambria" w:eastAsia="Times New Roman" w:hAnsi="Cambria" w:cs="Times New Roman"/>
            <w:color w:val="999999"/>
            <w:sz w:val="24"/>
            <w:szCs w:val="24"/>
            <w:u w:val="single"/>
          </w:rPr>
          <w:t>Richard D. Gregory et al., 1999</w:t>
        </w:r>
      </w:hyperlink>
      <w:r w:rsidRPr="00017662">
        <w:rPr>
          <w:rFonts w:ascii="Cambria" w:eastAsia="Times New Roman" w:hAnsi="Cambria" w:cs="Times New Roman"/>
          <w:color w:val="999999"/>
          <w:sz w:val="24"/>
          <w:szCs w:val="24"/>
        </w:rPr>
        <w:t xml:space="preserve">; </w:t>
      </w:r>
      <w:hyperlink r:id="rId13" w:anchor="bookmark=id.1hmsyys" w:history="1">
        <w:r w:rsidRPr="00017662">
          <w:rPr>
            <w:rFonts w:ascii="Cambria" w:eastAsia="Times New Roman" w:hAnsi="Cambria" w:cs="Times New Roman"/>
            <w:color w:val="999999"/>
            <w:sz w:val="24"/>
            <w:szCs w:val="24"/>
            <w:u w:val="single"/>
          </w:rPr>
          <w:t>Richard D. Gregory and Strien 2010</w:t>
        </w:r>
      </w:hyperlink>
      <w:r w:rsidRPr="00017662">
        <w:rPr>
          <w:rFonts w:ascii="Cambria" w:eastAsia="Times New Roman" w:hAnsi="Cambria" w:cs="Times New Roman"/>
          <w:color w:val="999999"/>
          <w:sz w:val="24"/>
          <w:szCs w:val="24"/>
        </w:rPr>
        <w:t>). These metrics compute the geometric mean of abundance of few key species over time.</w:t>
      </w:r>
    </w:p>
    <w:p w14:paraId="677C08F0" w14:textId="77777777" w:rsidR="00017662" w:rsidRPr="00017662" w:rsidRDefault="00017662" w:rsidP="00017662">
      <w:pPr>
        <w:spacing w:after="200" w:line="240" w:lineRule="auto"/>
        <w:rPr>
          <w:rFonts w:ascii="Times New Roman" w:eastAsia="Times New Roman" w:hAnsi="Times New Roman" w:cs="Times New Roman"/>
          <w:sz w:val="24"/>
          <w:szCs w:val="24"/>
        </w:rPr>
      </w:pPr>
      <w:r w:rsidRPr="00017662">
        <w:rPr>
          <w:rFonts w:ascii="Cambria" w:eastAsia="Times New Roman" w:hAnsi="Cambria" w:cs="Times New Roman"/>
          <w:b/>
          <w:bCs/>
          <w:color w:val="999999"/>
          <w:sz w:val="24"/>
          <w:szCs w:val="24"/>
        </w:rPr>
        <w:t>Bird stuff.</w:t>
      </w:r>
      <w:r w:rsidRPr="00017662">
        <w:rPr>
          <w:rFonts w:ascii="Cambria" w:eastAsia="Times New Roman" w:hAnsi="Cambria" w:cs="Times New Roman"/>
          <w:color w:val="999999"/>
          <w:sz w:val="24"/>
          <w:szCs w:val="24"/>
        </w:rPr>
        <w:t xml:space="preserve"> Some of these functions, such as seed dispersal, control of pests, scavenging, or pollination, depend on birds and their diversity. Birds also have a significant esthetical </w:t>
      </w:r>
      <w:r w:rsidRPr="00017662">
        <w:rPr>
          <w:rFonts w:ascii="Cambria" w:eastAsia="Times New Roman" w:hAnsi="Cambria" w:cs="Times New Roman"/>
          <w:color w:val="999999"/>
          <w:sz w:val="24"/>
          <w:szCs w:val="24"/>
        </w:rPr>
        <w:lastRenderedPageBreak/>
        <w:t>value, with most countries having numerous iconic/charismatic species of conservation interest (</w:t>
      </w:r>
      <w:hyperlink r:id="rId14" w:history="1">
        <w:r w:rsidRPr="00017662">
          <w:rPr>
            <w:rFonts w:ascii="Cambria" w:eastAsia="Times New Roman" w:hAnsi="Cambria" w:cs="Times New Roman"/>
            <w:color w:val="999999"/>
            <w:sz w:val="24"/>
            <w:szCs w:val="24"/>
            <w:u w:val="single"/>
          </w:rPr>
          <w:t>https://www.iucnredlist.org/</w:t>
        </w:r>
      </w:hyperlink>
      <w:r w:rsidRPr="00017662">
        <w:rPr>
          <w:rFonts w:ascii="Cambria" w:eastAsia="Times New Roman" w:hAnsi="Cambria" w:cs="Times New Roman"/>
          <w:color w:val="999999"/>
          <w:sz w:val="24"/>
          <w:szCs w:val="24"/>
        </w:rPr>
        <w:t>).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 (</w:t>
      </w:r>
      <w:hyperlink r:id="rId15" w:anchor="bookmark=id.49x2ik5" w:history="1">
        <w:r w:rsidRPr="00017662">
          <w:rPr>
            <w:rFonts w:ascii="Cambria" w:eastAsia="Times New Roman" w:hAnsi="Cambria" w:cs="Times New Roman"/>
            <w:color w:val="999999"/>
            <w:sz w:val="24"/>
            <w:szCs w:val="24"/>
            <w:u w:val="single"/>
          </w:rPr>
          <w:t>Donald, Green, and Heath 2001</w:t>
        </w:r>
      </w:hyperlink>
      <w:r w:rsidRPr="00017662">
        <w:rPr>
          <w:rFonts w:ascii="Cambria" w:eastAsia="Times New Roman" w:hAnsi="Cambria" w:cs="Times New Roman"/>
          <w:color w:val="999999"/>
          <w:sz w:val="24"/>
          <w:szCs w:val="24"/>
        </w:rPr>
        <w:t xml:space="preserve">; </w:t>
      </w:r>
      <w:hyperlink r:id="rId16" w:anchor="bookmark=id.46r0co2" w:history="1">
        <w:r w:rsidRPr="00017662">
          <w:rPr>
            <w:rFonts w:ascii="Cambria" w:eastAsia="Times New Roman" w:hAnsi="Cambria" w:cs="Times New Roman"/>
            <w:color w:val="999999"/>
            <w:sz w:val="24"/>
            <w:szCs w:val="24"/>
            <w:u w:val="single"/>
          </w:rPr>
          <w:t>Frédéric Jiguet et al., 2010</w:t>
        </w:r>
      </w:hyperlink>
      <w:r w:rsidRPr="00017662">
        <w:rPr>
          <w:rFonts w:ascii="Cambria" w:eastAsia="Times New Roman" w:hAnsi="Cambria" w:cs="Times New Roman"/>
          <w:color w:val="999999"/>
          <w:sz w:val="24"/>
          <w:szCs w:val="24"/>
        </w:rPr>
        <w:t>), with concerns that they could face a sixth mass extinction (</w:t>
      </w:r>
      <w:hyperlink r:id="rId17" w:anchor="bookmark=id.z337ya" w:history="1">
        <w:r w:rsidRPr="00017662">
          <w:rPr>
            <w:rFonts w:ascii="Cambria" w:eastAsia="Times New Roman" w:hAnsi="Cambria" w:cs="Times New Roman"/>
            <w:color w:val="999999"/>
            <w:sz w:val="24"/>
            <w:szCs w:val="24"/>
            <w:u w:val="single"/>
          </w:rPr>
          <w:t>Barnosky et al., 2011</w:t>
        </w:r>
      </w:hyperlink>
      <w:r w:rsidRPr="00017662">
        <w:rPr>
          <w:rFonts w:ascii="Cambria" w:eastAsia="Times New Roman" w:hAnsi="Cambria" w:cs="Times New Roman"/>
          <w:color w:val="999999"/>
          <w:sz w:val="24"/>
          <w:szCs w:val="24"/>
        </w:rPr>
        <w:t>).</w:t>
      </w:r>
    </w:p>
    <w:p w14:paraId="1C6FC731" w14:textId="77777777" w:rsidR="00017662" w:rsidRPr="00017662" w:rsidRDefault="00017662" w:rsidP="00017662">
      <w:pPr>
        <w:spacing w:after="200" w:line="240" w:lineRule="auto"/>
        <w:rPr>
          <w:rFonts w:ascii="Times New Roman" w:eastAsia="Times New Roman" w:hAnsi="Times New Roman" w:cs="Times New Roman"/>
          <w:sz w:val="24"/>
          <w:szCs w:val="24"/>
        </w:rPr>
      </w:pPr>
      <w:r w:rsidRPr="00017662">
        <w:rPr>
          <w:rFonts w:ascii="Cambria" w:eastAsia="Times New Roman" w:hAnsi="Cambria" w:cs="Times New Roman"/>
          <w:b/>
          <w:bCs/>
          <w:color w:val="999999"/>
          <w:sz w:val="24"/>
          <w:szCs w:val="24"/>
        </w:rPr>
        <w:t xml:space="preserve">Metric heterogeneity. </w:t>
      </w:r>
      <w:r w:rsidRPr="00017662">
        <w:rPr>
          <w:rFonts w:ascii="Cambria" w:eastAsia="Times New Roman" w:hAnsi="Cambria" w:cs="Times New Roman"/>
          <w:color w:val="999999"/>
          <w:sz w:val="24"/>
          <w:szCs w:val="24"/>
        </w:rPr>
        <w:t xml:space="preserve">In contrast to macroecology, applied ecology has offered multiparametric indices that aim to reflect multiple components of an ecosystem, the so-called </w:t>
      </w:r>
      <w:r w:rsidRPr="00017662">
        <w:rPr>
          <w:rFonts w:ascii="Cambria" w:eastAsia="Times New Roman" w:hAnsi="Cambria" w:cs="Times New Roman"/>
          <w:i/>
          <w:iCs/>
          <w:color w:val="999999"/>
          <w:sz w:val="24"/>
          <w:szCs w:val="24"/>
        </w:rPr>
        <w:t>composite indicators</w:t>
      </w:r>
      <w:r w:rsidRPr="00017662">
        <w:rPr>
          <w:rFonts w:ascii="Cambria" w:eastAsia="Times New Roman" w:hAnsi="Cambria" w:cs="Times New Roman"/>
          <w:color w:val="999999"/>
          <w:sz w:val="24"/>
          <w:szCs w:val="24"/>
        </w:rPr>
        <w:t xml:space="preserve">. For birds, these indices have been widely used (see review by </w:t>
      </w:r>
      <w:hyperlink r:id="rId18" w:anchor="bookmark=id.32hioqz" w:history="1">
        <w:r w:rsidRPr="00017662">
          <w:rPr>
            <w:rFonts w:ascii="Cambria" w:eastAsia="Times New Roman" w:hAnsi="Cambria" w:cs="Times New Roman"/>
            <w:color w:val="999999"/>
            <w:sz w:val="24"/>
            <w:szCs w:val="24"/>
            <w:u w:val="single"/>
          </w:rPr>
          <w:t>Fraixedas et al., 2020</w:t>
        </w:r>
      </w:hyperlink>
      <w:r w:rsidRPr="00017662">
        <w:rPr>
          <w:rFonts w:ascii="Cambria" w:eastAsia="Times New Roman" w:hAnsi="Cambria" w:cs="Times New Roman"/>
          <w:color w:val="999999"/>
          <w:sz w:val="24"/>
          <w:szCs w:val="24"/>
        </w:rPr>
        <w:t>) and have proven to be effective for conservation policies. Some of these metrics either reduce (</w:t>
      </w:r>
      <w:r w:rsidRPr="00017662">
        <w:rPr>
          <w:rFonts w:ascii="Cambria" w:eastAsia="Times New Roman" w:hAnsi="Cambria" w:cs="Times New Roman"/>
          <w:i/>
          <w:iCs/>
          <w:color w:val="999999"/>
          <w:sz w:val="24"/>
          <w:szCs w:val="24"/>
        </w:rPr>
        <w:t>e.g.</w:t>
      </w:r>
      <w:r w:rsidRPr="00017662">
        <w:rPr>
          <w:rFonts w:ascii="Cambria" w:eastAsia="Times New Roman" w:hAnsi="Cambria" w:cs="Times New Roman"/>
          <w:color w:val="999999"/>
          <w:sz w:val="24"/>
          <w:szCs w:val="24"/>
        </w:rPr>
        <w:t xml:space="preserve"> MSI which use a limited number of species) or increase (</w:t>
      </w:r>
      <w:r w:rsidRPr="00017662">
        <w:rPr>
          <w:rFonts w:ascii="Cambria" w:eastAsia="Times New Roman" w:hAnsi="Cambria" w:cs="Times New Roman"/>
          <w:i/>
          <w:iCs/>
          <w:color w:val="999999"/>
          <w:sz w:val="24"/>
          <w:szCs w:val="24"/>
        </w:rPr>
        <w:t>e.g.</w:t>
      </w:r>
      <w:r w:rsidRPr="00017662">
        <w:rPr>
          <w:rFonts w:ascii="Cambria" w:eastAsia="Times New Roman" w:hAnsi="Cambria" w:cs="Times New Roman"/>
          <w:color w:val="999999"/>
          <w:sz w:val="24"/>
          <w:szCs w:val="24"/>
        </w:rPr>
        <w:t xml:space="preserve"> 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p w14:paraId="6E0533EC" w14:textId="07395AC7" w:rsidR="00947406" w:rsidRPr="00017662" w:rsidRDefault="00017662" w:rsidP="00017662">
      <w:r w:rsidRPr="00017662">
        <w:rPr>
          <w:rFonts w:ascii="Times New Roman" w:eastAsia="Times New Roman" w:hAnsi="Times New Roman" w:cs="Times New Roman"/>
          <w:color w:val="AEAAAA"/>
          <w:sz w:val="24"/>
          <w:szCs w:val="24"/>
        </w:rPr>
        <w:t xml:space="preserve">We found longest temporal lags in studies with large spatial extent. This is because data used in the selected articles are mainly structured data, </w:t>
      </w:r>
      <w:r w:rsidRPr="00017662">
        <w:rPr>
          <w:rFonts w:ascii="Times New Roman" w:eastAsia="Times New Roman" w:hAnsi="Times New Roman" w:cs="Times New Roman"/>
          <w:i/>
          <w:iCs/>
          <w:color w:val="AEAAAA"/>
          <w:sz w:val="24"/>
          <w:szCs w:val="24"/>
        </w:rPr>
        <w:t>i.e.</w:t>
      </w:r>
      <w:r w:rsidRPr="00017662">
        <w:rPr>
          <w:rFonts w:ascii="Times New Roman" w:eastAsia="Times New Roman" w:hAnsi="Times New Roman" w:cs="Times New Roman"/>
          <w:color w:val="AEAAAA"/>
          <w:sz w:val="24"/>
          <w:szCs w:val="24"/>
        </w:rPr>
        <w:t xml:space="preserve"> 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 (</w:t>
      </w:r>
      <w:r w:rsidRPr="00017662">
        <w:rPr>
          <w:rFonts w:ascii="Times New Roman" w:eastAsia="Times New Roman" w:hAnsi="Times New Roman" w:cs="Times New Roman"/>
          <w:i/>
          <w:iCs/>
          <w:color w:val="AEAAAA"/>
          <w:sz w:val="24"/>
          <w:szCs w:val="24"/>
        </w:rPr>
        <w:t xml:space="preserve">e.g. </w:t>
      </w:r>
      <w:r w:rsidRPr="00017662">
        <w:rPr>
          <w:rFonts w:ascii="Times New Roman" w:eastAsia="Times New Roman" w:hAnsi="Times New Roman" w:cs="Times New Roman"/>
          <w:color w:val="AEAAAA"/>
          <w:sz w:val="24"/>
          <w:szCs w:val="24"/>
        </w:rPr>
        <w:t>Bowler et al., 2021; Isaac et al., 2014, 2020).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sectPr w:rsidR="00947406" w:rsidRPr="0001766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270D"/>
    <w:multiLevelType w:val="multilevel"/>
    <w:tmpl w:val="B46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D8"/>
    <w:rsid w:val="00017662"/>
    <w:rsid w:val="00947406"/>
    <w:rsid w:val="00AE4571"/>
    <w:rsid w:val="00E00FBD"/>
    <w:rsid w:val="00F7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8319"/>
  <w15:chartTrackingRefBased/>
  <w15:docId w15:val="{EAFCE617-6C48-4EFC-8ACA-11B082F9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7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7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LaKCgOToG2z3n7-jCZhLGTiK-xjQKeRlAqjQfd_1bQ/edit" TargetMode="External"/><Relationship Id="rId13" Type="http://schemas.openxmlformats.org/officeDocument/2006/relationships/hyperlink" Target="https://docs.google.com/document/d/1iLaKCgOToG2z3n7-jCZhLGTiK-xjQKeRlAqjQfd_1bQ/edit" TargetMode="External"/><Relationship Id="rId18" Type="http://schemas.openxmlformats.org/officeDocument/2006/relationships/hyperlink" Target="https://docs.google.com/document/d/1iLaKCgOToG2z3n7-jCZhLGTiK-xjQKeRlAqjQfd_1bQ/edit" TargetMode="External"/><Relationship Id="rId3" Type="http://schemas.openxmlformats.org/officeDocument/2006/relationships/settings" Target="settings.xml"/><Relationship Id="rId7" Type="http://schemas.openxmlformats.org/officeDocument/2006/relationships/hyperlink" Target="https://docs.google.com/document/d/1iLaKCgOToG2z3n7-jCZhLGTiK-xjQKeRlAqjQfd_1bQ/edit" TargetMode="External"/><Relationship Id="rId12" Type="http://schemas.openxmlformats.org/officeDocument/2006/relationships/hyperlink" Target="https://docs.google.com/document/d/1iLaKCgOToG2z3n7-jCZhLGTiK-xjQKeRlAqjQfd_1bQ/edit" TargetMode="External"/><Relationship Id="rId17" Type="http://schemas.openxmlformats.org/officeDocument/2006/relationships/hyperlink" Target="https://docs.google.com/document/d/1iLaKCgOToG2z3n7-jCZhLGTiK-xjQKeRlAqjQfd_1bQ/edit" TargetMode="External"/><Relationship Id="rId2" Type="http://schemas.openxmlformats.org/officeDocument/2006/relationships/styles" Target="styles.xml"/><Relationship Id="rId16" Type="http://schemas.openxmlformats.org/officeDocument/2006/relationships/hyperlink" Target="https://docs.google.com/document/d/1iLaKCgOToG2z3n7-jCZhLGTiK-xjQKeRlAqjQfd_1bQ/ed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iLaKCgOToG2z3n7-jCZhLGTiK-xjQKeRlAqjQfd_1bQ/edit" TargetMode="External"/><Relationship Id="rId11" Type="http://schemas.openxmlformats.org/officeDocument/2006/relationships/hyperlink" Target="https://docs.google.com/document/d/1iLaKCgOToG2z3n7-jCZhLGTiK-xjQKeRlAqjQfd_1bQ/edit" TargetMode="External"/><Relationship Id="rId5" Type="http://schemas.openxmlformats.org/officeDocument/2006/relationships/hyperlink" Target="https://docs.google.com/document/d/1iLaKCgOToG2z3n7-jCZhLGTiK-xjQKeRlAqjQfd_1bQ/edit" TargetMode="External"/><Relationship Id="rId15" Type="http://schemas.openxmlformats.org/officeDocument/2006/relationships/hyperlink" Target="https://docs.google.com/document/d/1iLaKCgOToG2z3n7-jCZhLGTiK-xjQKeRlAqjQfd_1bQ/edit" TargetMode="External"/><Relationship Id="rId10" Type="http://schemas.openxmlformats.org/officeDocument/2006/relationships/hyperlink" Target="https://docs.google.com/document/d/1iLaKCgOToG2z3n7-jCZhLGTiK-xjQKeRlAqjQfd_1bQ/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iLaKCgOToG2z3n7-jCZhLGTiK-xjQKeRlAqjQfd_1bQ/edit" TargetMode="External"/><Relationship Id="rId14" Type="http://schemas.openxmlformats.org/officeDocument/2006/relationships/hyperlink" Target="https://www.iucnredl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3</cp:revision>
  <dcterms:created xsi:type="dcterms:W3CDTF">2022-02-15T10:20:00Z</dcterms:created>
  <dcterms:modified xsi:type="dcterms:W3CDTF">2022-02-15T15:52:00Z</dcterms:modified>
</cp:coreProperties>
</file>