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2022-02-02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 H. M. Butchart et al. 2007</w:t>
        </w:r>
      </w:hyperlink>
      <w:r>
        <w:t xml:space="preserve">,</w:t>
      </w:r>
      <w:r>
        <w:t xml:space="preserve"> </w:t>
      </w:r>
      <w:hyperlink w:anchor="ref-butchart_measuring_2004">
        <w:r>
          <w:rPr>
            <w:rStyle w:val="Hyperlink"/>
          </w:rPr>
          <w:t xml:space="preserve">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fR, Eve, sR, Div, fDiv, tBetaDiv, sBetaDiv, fsBetaDiv, gammaDiv, fgammaDiv</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23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dc97f5cb-25c9-4421-aa53-3cc8457e2e55" w:name="tab:maintable"/>
      <w:r>
        <w:t xml:space="preserve">Trends of different metrics of biodiversity at various spatial and temporal scales</w:t>
      </w:r>
      <w:bookmarkEnd w:id="dc97f5cb-25c9-4421-aa53-3cc8457e2e5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coverage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1999-2018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Switzerland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Polar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Temperate realm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McGill</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1985-2005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1985-2005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23 articles is 3.5</w:t>
      </w:r>
      <w:r>
        <w:t xml:space="preserve">^{5}</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17 combinations of scales and metrics. Overall, there were 35</w:t>
      </w:r>
      <w:r>
        <w:t xml:space="preserve"> </w:t>
      </w:r>
      <w:r>
        <w:rPr>
          <w:iCs/>
          <w:i/>
        </w:rPr>
        <w:t xml:space="preserve">Increase</w:t>
      </w:r>
      <w:r>
        <w:t xml:space="preserve">, 11</w:t>
      </w:r>
      <w:r>
        <w:t xml:space="preserve"> </w:t>
      </w:r>
      <w:r>
        <w:rPr>
          <w:iCs/>
          <w:i/>
        </w:rPr>
        <w:t xml:space="preserve">Stable</w:t>
      </w:r>
      <w:r>
        <w:t xml:space="preserve"> </w:t>
      </w:r>
      <w:r>
        <w:t xml:space="preserve">and 10</w:t>
      </w:r>
      <w:r>
        <w:t xml:space="preserve"> </w:t>
      </w:r>
      <w:r>
        <w:rPr>
          <w:iCs/>
          <w:i/>
        </w:rPr>
        <w:t xml:space="preserve">Decrease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p>
      <w:pPr>
        <w:pStyle w:val="SourceCode"/>
      </w:pPr>
      <w:r>
        <w:rPr>
          <w:rStyle w:val="VerbatimChar"/>
        </w:rPr>
        <w:t xml:space="preserve">## png </w:t>
      </w:r>
      <w:r>
        <w:br/>
      </w:r>
      <w:r>
        <w:rPr>
          <w:rStyle w:val="VerbatimChar"/>
        </w:rPr>
        <w:t xml:space="preserve">##   2</w:t>
      </w:r>
    </w:p>
    <w:p>
      <w:pPr>
        <w:pStyle w:val="FirstParagraph"/>
      </w:pPr>
      <w:r>
        <w:rPr>
          <w:bCs/>
          <w:b/>
        </w:rPr>
        <w:t xml:space="preserve">Trends without pseudo-replicates:</w:t>
      </w:r>
    </w:p>
    <w:p>
      <w:pPr>
        <w:pStyle w:val="SourceCode"/>
      </w:pPr>
      <w:r>
        <w:rPr>
          <w:rStyle w:val="VerbatimChar"/>
        </w:rPr>
        <w:t xml:space="preserve">## png </w:t>
      </w:r>
      <w:r>
        <w:br/>
      </w:r>
      <w:r>
        <w:rPr>
          <w:rStyle w:val="VerbatimChar"/>
        </w:rPr>
        <w:t xml:space="preserve">##   2</w:t>
      </w:r>
    </w:p>
    <w:bookmarkEnd w:id="25"/>
    <w:bookmarkStart w:id="26"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and the median duration is 28 years, with a minimum time-span of 6 years and a maximum of 99. As the studies use mainly the same datasets (generally from Breeding Bird Surveys), only three different temporal grains were found (2.5, 3.4, 0.09, 1 hours).</w:t>
      </w:r>
    </w:p>
    <w:p>
      <w:pPr>
        <w:pStyle w:val="BodyText"/>
      </w:pPr>
      <w:r>
        <w:t xml:space="preserve">We found longest temporal lags in studies with large spatial extent (Figure</w:t>
      </w:r>
      <w:r>
        <w:t xml:space="preserve"> </w:t>
      </w:r>
      <w:r>
        <w:t xml:space="preserve">??</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SourceCode"/>
      </w:pPr>
      <w:r>
        <w:rPr>
          <w:rStyle w:val="VerbatimChar"/>
        </w:rPr>
        <w:t xml:space="preserve">## png </w:t>
      </w:r>
      <w:r>
        <w:br/>
      </w:r>
      <w:r>
        <w:rPr>
          <w:rStyle w:val="VerbatimChar"/>
        </w:rPr>
        <w:t xml:space="preserve">##   2</w:t>
      </w:r>
    </w:p>
    <w:bookmarkEnd w:id="26"/>
    <w:bookmarkStart w:id="27"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23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7"/>
    <w:bookmarkStart w:id="28"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28"/>
    <w:bookmarkStart w:id="29"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29"/>
    <w:bookmarkStart w:id="30"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0"/>
    <w:bookmarkStart w:id="31" w:name="supplementary-materials"/>
    <w:p>
      <w:pPr>
        <w:pStyle w:val="Heading1"/>
      </w:pPr>
      <w:r>
        <w:t xml:space="preserve">Supplementary materials</w:t>
      </w:r>
    </w:p>
    <w:p>
      <w:pPr>
        <w:pStyle w:val="FirstParagraph"/>
      </w:pPr>
      <w:r>
        <w:t xml:space="preserve">Table 9.1:</w:t>
      </w:r>
      <w:r>
        <w:t xml:space="preserve"> </w:t>
      </w:r>
      <w:bookmarkStart w:id="b2445fca-8608-4ab3-b9ac-f136d287442c" w:name="tab:notetable"/>
      <w:r>
        <w:t xml:space="preserve">Supplementary informations about each article</w:t>
      </w:r>
      <w:bookmarkEnd w:id="b2445fca-8608-4ab3-b9ac-f136d287442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there are 50 census points sampled for 3 minutes, Mean change of SR at the road scales. Area of the road = (40/0.8)*(pi*0.4^2)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restricted to a rectangle between 95°W to 70°W and 30°N to 50°N.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British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from Szabo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Swedish BBS, "The number of observations for each sampling route is the sum of observed pair equivalents of birds at the counting points (5 min counting period at each point) and while moving between counting points". 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Breeding Bird Monitoring Programme. Jaccard similarity index (pairwise comparisions between transects), first increase then decrease.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Metric = Shannon.  The metric is meaned over each road. Area of the road = 50*(pi*400^2) with 50 census points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French BBS, 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fgammaDiv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10 counting points per site,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New York State Breeding Bird Atlas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species richness, Fig. S5 shows the slope for birds. For the temporal beta-diversity, trends only for birds is not given so we took the global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Index used Jaccard similarity index. In this review, temporal beta-diversity is assessed as dissimilarity.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García-Navas</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garcia-navas_temporal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Sorensen score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Blowes</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lowes_geography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is the median time serie. Tropical realm is represented only by 5 trends so we decided to not take it into account.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tBetaDiv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McGill</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cgill_fifteen_201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North American BBS, spatial grain of 5x5°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r>
    </w:tbl>
    <w:p>
      <w:r>
        <w:br w:type="page"/>
      </w:r>
    </w:p>
    <w:bookmarkEnd w:id="31"/>
    <w:bookmarkStart w:id="186" w:name="references"/>
    <w:p>
      <w:pPr>
        <w:pStyle w:val="Heading1"/>
      </w:pPr>
      <w:r>
        <w:t xml:space="preserve">References</w:t>
      </w:r>
    </w:p>
    <w:bookmarkStart w:id="185" w:name="refs"/>
    <w:bookmarkStart w:id="33"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2">
        <w:r>
          <w:rPr>
            <w:rStyle w:val="Hyperlink"/>
          </w:rPr>
          <w:t xml:space="preserve">https://doi.org/10.1046/j.1461-0248.2003.00497.x</w:t>
        </w:r>
      </w:hyperlink>
      <w:r>
        <w:t xml:space="preserve">.</w:t>
      </w:r>
    </w:p>
    <w:bookmarkEnd w:id="33"/>
    <w:bookmarkStart w:id="35"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4">
        <w:r>
          <w:rPr>
            <w:rStyle w:val="Hyperlink"/>
          </w:rPr>
          <w:t xml:space="preserve">https://doi.org/10.1073/pnas.1508681112</w:t>
        </w:r>
      </w:hyperlink>
      <w:r>
        <w:t xml:space="preserve">.</w:t>
      </w:r>
    </w:p>
    <w:bookmarkEnd w:id="35"/>
    <w:bookmarkStart w:id="37" w:name="ref-arrhenius_species_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 United States.”</w:t>
      </w:r>
      <w:r>
        <w:t xml:space="preserve"> </w:t>
      </w:r>
      <w:r>
        <w:rPr>
          <w:iCs/>
          <w:i/>
        </w:rPr>
        <w:t xml:space="preserve">Oecologia</w:t>
      </w:r>
      <w:r>
        <w:t xml:space="preserve"> </w:t>
      </w:r>
      <w:r>
        <w:t xml:space="preserve">185 (4): 737–48.</w:t>
      </w:r>
      <w:r>
        <w:t xml:space="preserve"> </w:t>
      </w:r>
      <w:hyperlink r:id="rId38">
        <w:r>
          <w:rPr>
            <w:rStyle w:val="Hyperlink"/>
          </w:rPr>
          <w:t xml:space="preserve">https://doi.org/10.1007/s00442-017-3967-4</w:t>
        </w:r>
      </w:hyperlink>
      <w:r>
        <w:t xml:space="preserve">.</w:t>
      </w:r>
    </w:p>
    <w:bookmarkEnd w:id="39"/>
    <w:bookmarkStart w:id="41" w:name="ref-barnosky_has_2011"/>
    <w:p>
      <w:pPr>
        <w:pStyle w:val="Bibliography"/>
      </w:pPr>
      <w:r>
        <w:t xml:space="preserve">Barnosky, Anthony D., Nicholas Matzke, Susumu Tomiya, Guinevere O. U. Wogan, Brian Swartz, Tiago B. Quental, Charles Marshall, et al. 2011.</w:t>
      </w:r>
      <w:r>
        <w:t xml:space="preserve"> </w:t>
      </w:r>
      <w:r>
        <w:t xml:space="preserve">“Has the Earth’s Sixth Mass Extinction Already Arrived?”</w:t>
      </w:r>
      <w:r>
        <w:t xml:space="preserve"> </w:t>
      </w:r>
      <w:r>
        <w:rPr>
          <w:iCs/>
          <w:i/>
        </w:rPr>
        <w:t xml:space="preserve">Nature</w:t>
      </w:r>
      <w:r>
        <w:t xml:space="preserve"> </w:t>
      </w:r>
      <w:r>
        <w:t xml:space="preserve">471 (7336): 51–57.</w:t>
      </w:r>
      <w:r>
        <w:t xml:space="preserve"> </w:t>
      </w:r>
      <w:hyperlink r:id="rId40">
        <w:r>
          <w:rPr>
            <w:rStyle w:val="Hyperlink"/>
          </w:rPr>
          <w:t xml:space="preserve">https://doi.org/10.1038/nature09678</w:t>
        </w:r>
      </w:hyperlink>
      <w:r>
        <w:t xml:space="preserve">.</w:t>
      </w:r>
    </w:p>
    <w:bookmarkEnd w:id="41"/>
    <w:bookmarkStart w:id="43"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2">
        <w:r>
          <w:rPr>
            <w:rStyle w:val="Hyperlink"/>
          </w:rPr>
          <w:t xml:space="preserve">https://vesmir.cz/cz/on-line-clanky/2016/04/velke-ptaci-mapovani.html</w:t>
        </w:r>
      </w:hyperlink>
      <w:r>
        <w:t xml:space="preserve">.</w:t>
      </w:r>
    </w:p>
    <w:bookmarkEnd w:id="43"/>
    <w:bookmarkStart w:id="45"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4">
        <w:r>
          <w:rPr>
            <w:rStyle w:val="Hyperlink"/>
          </w:rPr>
          <w:t xml:space="preserve">https://doi.org/10.1126/science.aaw1620</w:t>
        </w:r>
      </w:hyperlink>
      <w:r>
        <w:t xml:space="preserve">.</w:t>
      </w:r>
    </w:p>
    <w:bookmarkEnd w:id="45"/>
    <w:bookmarkStart w:id="47"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 Europe.”</w:t>
      </w:r>
      <w:r>
        <w:t xml:space="preserve"> </w:t>
      </w:r>
      <w:r>
        <w:rPr>
          <w:iCs/>
          <w:i/>
        </w:rPr>
        <w:t xml:space="preserve">Basic and Applied Ecology</w:t>
      </w:r>
      <w:r>
        <w:t xml:space="preserve"> </w:t>
      </w:r>
      <w:r>
        <w:t xml:space="preserve">56 (November): 72–84.</w:t>
      </w:r>
      <w:r>
        <w:t xml:space="preserve"> </w:t>
      </w:r>
      <w:hyperlink r:id="rId46">
        <w:r>
          <w:rPr>
            <w:rStyle w:val="Hyperlink"/>
          </w:rPr>
          <w:t xml:space="preserve">https://doi.org/10.1016/j.baae.2021.07.004</w:t>
        </w:r>
      </w:hyperlink>
      <w:r>
        <w:t xml:space="preserve">.</w:t>
      </w:r>
    </w:p>
    <w:bookmarkEnd w:id="47"/>
    <w:bookmarkStart w:id="49" w:name="ref-butchart_using_2005"/>
    <w:p>
      <w:pPr>
        <w:pStyle w:val="Bibliography"/>
      </w:pPr>
      <w:r>
        <w:t xml:space="preserve">Butchart, S.h.m, A.j Stattersfield, J Baillie, L.a Bennun, S.n Stuart, H.r Akçakaya, C Hilton-Taylor, and G.m Mace. 2005.</w:t>
      </w:r>
      <w:r>
        <w:t xml:space="preserve"> </w:t>
      </w:r>
      <w:r>
        <w:t xml:space="preserve">“Using Red List Indices 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48">
        <w:r>
          <w:rPr>
            <w:rStyle w:val="Hyperlink"/>
          </w:rPr>
          <w:t xml:space="preserve">https://doi.org/10.1098/rstb.2004.1583</w:t>
        </w:r>
      </w:hyperlink>
      <w:r>
        <w:t xml:space="preserve">.</w:t>
      </w:r>
    </w:p>
    <w:bookmarkEnd w:id="49"/>
    <w:bookmarkStart w:id="51"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 Red List Index.”</w:t>
      </w:r>
      <w:r>
        <w:t xml:space="preserve"> </w:t>
      </w:r>
      <w:r>
        <w:rPr>
          <w:iCs/>
          <w:i/>
        </w:rPr>
        <w:t xml:space="preserve">PLOS</w:t>
      </w:r>
      <w:r>
        <w:rPr>
          <w:iCs/>
          <w:i/>
        </w:rPr>
        <w:t xml:space="preserve"> </w:t>
      </w:r>
      <w:r>
        <w:rPr>
          <w:iCs/>
          <w:i/>
        </w:rPr>
        <w:t xml:space="preserve">ONE</w:t>
      </w:r>
      <w:r>
        <w:t xml:space="preserve"> </w:t>
      </w:r>
      <w:r>
        <w:t xml:space="preserve">2 (1): e140.</w:t>
      </w:r>
      <w:r>
        <w:t xml:space="preserve"> </w:t>
      </w:r>
      <w:hyperlink r:id="rId50">
        <w:r>
          <w:rPr>
            <w:rStyle w:val="Hyperlink"/>
          </w:rPr>
          <w:t xml:space="preserve">https://doi.org/10.1371/journal.pone.0000140</w:t>
        </w:r>
      </w:hyperlink>
      <w:r>
        <w:t xml:space="preserve">.</w:t>
      </w:r>
    </w:p>
    <w:bookmarkEnd w:id="51"/>
    <w:bookmarkStart w:id="53"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 Global Trends in the Status of Biodiversity: Red List Indices for Birds.”</w:t>
      </w:r>
      <w:r>
        <w:t xml:space="preserve"> </w:t>
      </w:r>
      <w:r>
        <w:rPr>
          <w:iCs/>
          <w:i/>
        </w:rPr>
        <w:t xml:space="preserve">PLOS</w:t>
      </w:r>
      <w:r>
        <w:rPr>
          <w:iCs/>
          <w:i/>
        </w:rPr>
        <w:t xml:space="preserve"> </w:t>
      </w:r>
      <w:r>
        <w:rPr>
          <w:iCs/>
          <w:i/>
        </w:rPr>
        <w:t xml:space="preserve">Biology</w:t>
      </w:r>
      <w:r>
        <w:t xml:space="preserve"> </w:t>
      </w:r>
      <w:r>
        <w:t xml:space="preserve">2 (12): e383.</w:t>
      </w:r>
      <w:r>
        <w:t xml:space="preserve"> </w:t>
      </w:r>
      <w:hyperlink r:id="rId52">
        <w:r>
          <w:rPr>
            <w:rStyle w:val="Hyperlink"/>
          </w:rPr>
          <w:t xml:space="preserve">https://doi.org/10.1371/journal.pbio.0020383</w:t>
        </w:r>
      </w:hyperlink>
      <w:r>
        <w:t xml:space="preserve">.</w:t>
      </w:r>
    </w:p>
    <w:bookmarkEnd w:id="53"/>
    <w:bookmarkStart w:id="55"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4">
        <w:r>
          <w:rPr>
            <w:rStyle w:val="Hyperlink"/>
          </w:rPr>
          <w:t xml:space="preserve">https://doi.org/10.1111/oik.05968</w:t>
        </w:r>
      </w:hyperlink>
      <w:r>
        <w:t xml:space="preserve">.</w:t>
      </w:r>
    </w:p>
    <w:bookmarkEnd w:id="55"/>
    <w:bookmarkStart w:id="56"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6"/>
    <w:bookmarkStart w:id="58"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7">
        <w:r>
          <w:rPr>
            <w:rStyle w:val="Hyperlink"/>
          </w:rPr>
          <w:t xml:space="preserve">https://doi.org/10.1111/j.1466-8238.2011.00693.x</w:t>
        </w:r>
      </w:hyperlink>
      <w:r>
        <w:t xml:space="preserve">.</w:t>
      </w:r>
    </w:p>
    <w:bookmarkEnd w:id="58"/>
    <w:bookmarkStart w:id="60"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59">
        <w:r>
          <w:rPr>
            <w:rStyle w:val="Hyperlink"/>
          </w:rPr>
          <w:t xml:space="preserve">https://doi.org/10.1126/science.aap8826</w:t>
        </w:r>
      </w:hyperlink>
      <w:r>
        <w:t xml:space="preserve">.</w:t>
      </w:r>
    </w:p>
    <w:bookmarkEnd w:id="60"/>
    <w:bookmarkStart w:id="62" w:name="ref-donald_agricultural_2001"/>
    <w:p>
      <w:pPr>
        <w:pStyle w:val="Bibliography"/>
      </w:pPr>
      <w:r>
        <w:t xml:space="preserve">Donald, P. F., R. E. Green, and M. F. Heath. 2001.</w:t>
      </w:r>
      <w:r>
        <w:t xml:space="preserve"> </w:t>
      </w:r>
      <w:r>
        <w:t xml:space="preserve">“Agricultural Intensification and the Collapse of Europe’s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1">
        <w:r>
          <w:rPr>
            <w:rStyle w:val="Hyperlink"/>
          </w:rPr>
          <w:t xml:space="preserve">https://doi.org/10.1098/rspb.2000.1325</w:t>
        </w:r>
      </w:hyperlink>
      <w:r>
        <w:t xml:space="preserve">.</w:t>
      </w:r>
    </w:p>
    <w:bookmarkEnd w:id="62"/>
    <w:bookmarkStart w:id="64" w:name="ref-dornelas_assemblage_2014"/>
    <w:p>
      <w:pPr>
        <w:pStyle w:val="Bibliography"/>
      </w:pPr>
      <w:r>
        <w:t xml:space="preserve">Dornelas, Maria, Nicholas J. Gotelli, Brian McGill, Hideyasu Shimadzu, Faye Moyes, Caya Sievers, and Anne E. Magurran. 2014.</w:t>
      </w:r>
      <w:r>
        <w:t xml:space="preserve"> </w:t>
      </w:r>
      <w:r>
        <w:t xml:space="preserve">“Assemblage Time Series Reveal Biodiversity Change but Not Systematic Loss.”</w:t>
      </w:r>
      <w:r>
        <w:t xml:space="preserve"> </w:t>
      </w:r>
      <w:r>
        <w:rPr>
          <w:iCs/>
          <w:i/>
        </w:rPr>
        <w:t xml:space="preserve">Science</w:t>
      </w:r>
      <w:r>
        <w:t xml:space="preserve"> </w:t>
      </w:r>
      <w:r>
        <w:t xml:space="preserve">344 (6181): 296–99.</w:t>
      </w:r>
      <w:r>
        <w:t xml:space="preserve"> </w:t>
      </w:r>
      <w:hyperlink r:id="rId63">
        <w:r>
          <w:rPr>
            <w:rStyle w:val="Hyperlink"/>
          </w:rPr>
          <w:t xml:space="preserve">https://doi.org/10.1126/science.1248484</w:t>
        </w:r>
      </w:hyperlink>
      <w:r>
        <w:t xml:space="preserve">.</w:t>
      </w:r>
    </w:p>
    <w:bookmarkEnd w:id="64"/>
    <w:bookmarkStart w:id="66"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5">
        <w:r>
          <w:rPr>
            <w:rStyle w:val="Hyperlink"/>
          </w:rPr>
          <w:t xml:space="preserve">https://doi.org/10.1098/rspb.2012.1931</w:t>
        </w:r>
      </w:hyperlink>
      <w:r>
        <w:t xml:space="preserve">.</w:t>
      </w:r>
    </w:p>
    <w:bookmarkEnd w:id="66"/>
    <w:bookmarkStart w:id="68"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 France.”</w:t>
      </w:r>
      <w:r>
        <w:t xml:space="preserve"> </w:t>
      </w:r>
      <w:r>
        <w:rPr>
          <w:iCs/>
          <w:i/>
        </w:rPr>
        <w:t xml:space="preserve">Journal of Applied Ecology</w:t>
      </w:r>
      <w:r>
        <w:t xml:space="preserve"> </w:t>
      </w:r>
      <w:r>
        <w:t xml:space="preserve">47 (6): 1348–56.</w:t>
      </w:r>
      <w:r>
        <w:t xml:space="preserve"> </w:t>
      </w:r>
      <w:hyperlink r:id="rId67">
        <w:r>
          <w:rPr>
            <w:rStyle w:val="Hyperlink"/>
          </w:rPr>
          <w:t xml:space="preserve">https://doi.org/10.1111/j.1365-2664.2010.01869.x</w:t>
        </w:r>
      </w:hyperlink>
      <w:r>
        <w:t xml:space="preserve">.</w:t>
      </w:r>
    </w:p>
    <w:bookmarkEnd w:id="68"/>
    <w:bookmarkStart w:id="70"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69">
        <w:r>
          <w:rPr>
            <w:rStyle w:val="Hyperlink"/>
          </w:rPr>
          <w:t xml:space="preserve">https://doi.org/10.1034/j.1600-0587.2002.250510.x</w:t>
        </w:r>
      </w:hyperlink>
      <w:r>
        <w:t xml:space="preserve">.</w:t>
      </w:r>
    </w:p>
    <w:bookmarkEnd w:id="70"/>
    <w:bookmarkStart w:id="72" w:name="ref-eglington_disentangling_2012"/>
    <w:p>
      <w:pPr>
        <w:pStyle w:val="Bibliography"/>
      </w:pPr>
      <w:r>
        <w:t xml:space="preserve">Eglington, Sarah M., and James W. Pearce-Higgins. 2012.</w:t>
      </w:r>
      <w:r>
        <w:t xml:space="preserve"> </w:t>
      </w:r>
      <w:r>
        <w:t xml:space="preserve">“Disentangling the Relative Importance of Changes in Climate and Land-Use Intensity in Driving Recent Bird Population Trends.”</w:t>
      </w:r>
      <w:r>
        <w:t xml:space="preserve"> </w:t>
      </w:r>
      <w:r>
        <w:t xml:space="preserve">Edited by Raphaël Arlettaz.</w:t>
      </w:r>
      <w:r>
        <w:t xml:space="preserve"> </w:t>
      </w:r>
      <w:r>
        <w:rPr>
          <w:iCs/>
          <w:i/>
        </w:rPr>
        <w:t xml:space="preserve">PLoS</w:t>
      </w:r>
      <w:r>
        <w:rPr>
          <w:iCs/>
          <w:i/>
        </w:rPr>
        <w:t xml:space="preserve"> </w:t>
      </w:r>
      <w:r>
        <w:rPr>
          <w:iCs/>
          <w:i/>
        </w:rPr>
        <w:t xml:space="preserve">ONE</w:t>
      </w:r>
      <w:r>
        <w:t xml:space="preserve"> </w:t>
      </w:r>
      <w:r>
        <w:t xml:space="preserve">7 (3): e30407.</w:t>
      </w:r>
      <w:r>
        <w:t xml:space="preserve"> </w:t>
      </w:r>
      <w:hyperlink r:id="rId71">
        <w:r>
          <w:rPr>
            <w:rStyle w:val="Hyperlink"/>
          </w:rPr>
          <w:t xml:space="preserve">https://doi.org/10.1371/journal.pone.0030407</w:t>
        </w:r>
      </w:hyperlink>
      <w:r>
        <w:t xml:space="preserve">.</w:t>
      </w:r>
    </w:p>
    <w:bookmarkEnd w:id="72"/>
    <w:bookmarkStart w:id="74"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 Advances, Challenges, and Future Directions.”</w:t>
      </w:r>
      <w:r>
        <w:t xml:space="preserve"> </w:t>
      </w:r>
      <w:r>
        <w:rPr>
          <w:iCs/>
          <w:i/>
        </w:rPr>
        <w:t xml:space="preserve">Ecological Indicators</w:t>
      </w:r>
      <w:r>
        <w:t xml:space="preserve"> </w:t>
      </w:r>
      <w:r>
        <w:t xml:space="preserve">118 (November): 106728.</w:t>
      </w:r>
      <w:r>
        <w:t xml:space="preserve"> </w:t>
      </w:r>
      <w:hyperlink r:id="rId73">
        <w:r>
          <w:rPr>
            <w:rStyle w:val="Hyperlink"/>
          </w:rPr>
          <w:t xml:space="preserve">https://doi.org/10.1016/j.ecolind.2020.106728</w:t>
        </w:r>
      </w:hyperlink>
      <w:r>
        <w:t xml:space="preserve">.</w:t>
      </w:r>
    </w:p>
    <w:bookmarkEnd w:id="74"/>
    <w:bookmarkStart w:id="76" w:name="ref-garcia-navas_temporal_2020"/>
    <w:p>
      <w:pPr>
        <w:pStyle w:val="Bibliography"/>
      </w:pPr>
      <w:r>
        <w:t xml:space="preserve">García-Navas, Vicente, Thomas Sattler, Hans Schmid, and Arpat Ozgul. 2020.</w:t>
      </w:r>
      <w:r>
        <w:t xml:space="preserve"> </w:t>
      </w:r>
      <w:r>
        <w:t xml:space="preserve">“Temporal Homogenization of Functional and Beta Diversity in Bird Communities of the Swiss Alps.”</w:t>
      </w:r>
      <w:r>
        <w:t xml:space="preserve"> </w:t>
      </w:r>
      <w:r>
        <w:rPr>
          <w:iCs/>
          <w:i/>
        </w:rPr>
        <w:t xml:space="preserve">Diversity and Distributions</w:t>
      </w:r>
      <w:r>
        <w:t xml:space="preserve"> </w:t>
      </w:r>
      <w:r>
        <w:t xml:space="preserve">26 (8): 900–911.</w:t>
      </w:r>
      <w:r>
        <w:t xml:space="preserve"> </w:t>
      </w:r>
      <w:hyperlink r:id="rId75">
        <w:r>
          <w:rPr>
            <w:rStyle w:val="Hyperlink"/>
          </w:rPr>
          <w:t xml:space="preserve">https://doi.org/10.1111/ddi.13076</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 European 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 Role of the</w:t>
      </w:r>
      <w:r>
        <w:t xml:space="preserve"> </w:t>
      </w:r>
      <w:r>
        <w:t xml:space="preserve">‘Accidental’</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 British 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 Integration for Large-Scale Models of Species Distributions.”</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 Scale 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 Spatial Trends in Estimated Species Richness Using Breeding Bird Survey Data: A Valuable Tool in Biodiversity Assessment.”</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Sino-french cooperation on biodiversity and natural resource management,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 European 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 Germany 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 Dutch and</w:t>
      </w:r>
      <w:r>
        <w:t xml:space="preserve"> </w:t>
      </w:r>
      <w:r>
        <w:t xml:space="preserve">UK</w:t>
      </w:r>
      <w:r>
        <w:t xml:space="preserve"> </w:t>
      </w:r>
      <w:r>
        <w:t xml:space="preserve">Hoverflies (Diptera, Syrphidae).”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 Theory 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 Breeding Bird Atlas 2: Distribution, Abundance and 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 Uses of Vertebrate Indicator Species: A Critique.”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 Problem of Pattern and Scale in Ecology: The Robert h.</w:t>
      </w:r>
      <w:r>
        <w:t xml:space="preserve"> </w:t>
      </w:r>
      <w:r>
        <w:t xml:space="preserve">MacArthur</w:t>
      </w:r>
      <w:r>
        <w:t xml:space="preserve"> </w:t>
      </w:r>
      <w:r>
        <w:t xml:space="preserve">Award Lecture.”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 Living Planet Index: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 Anthropocene.”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Biodiversity—Exemplified in the Nordic 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 Biodiversity Change: The Bad, the Good, and the Unknown.”</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 Europe.”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 A Large-Scale Analysis from Northern Europe.”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 Czech Republic 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 North American Breeding Bird Survey 1966–2011: Summary Analysis and Species Accounts.”</w:t>
      </w:r>
      <w:r>
        <w:t xml:space="preserve"> </w:t>
      </w:r>
      <w:r>
        <w:rPr>
          <w:iCs/>
          <w:i/>
        </w:rPr>
        <w:t xml:space="preserve">North American Fauna</w:t>
      </w:r>
      <w:r>
        <w:t xml:space="preserve">, no.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 North American Breeding Bird Survey.”</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 North American 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 Diversity.”</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 North America.”</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 Trends of Common Birds in Bulgaria: Is Their Status Improving After the</w:t>
      </w:r>
      <w:r>
        <w:t xml:space="preserve"> </w:t>
      </w:r>
      <w:r>
        <w:t xml:space="preserve">EU</w:t>
      </w:r>
      <w:r>
        <w:t xml:space="preserve"> </w:t>
      </w:r>
      <w:r>
        <w:t xml:space="preserve">Accession?”</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 Biodiversity</w:t>
      </w:r>
      <w:r>
        <w:t xml:space="preserve">. Ecological Reviews.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 A 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 Changes in Breeding Bird Diversity in the Netherlands 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 Community Ecology.”</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 North American 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 Siskiyou Mountains, Oregon and California.”</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 Measurement of Species Diversity.”</w:t>
      </w:r>
      <w:r>
        <w:t xml:space="preserve"> </w:t>
      </w:r>
      <w:r>
        <w:rPr>
          <w:iCs/>
          <w:i/>
        </w:rPr>
        <w:t xml:space="preserve">TAXON</w:t>
      </w:r>
      <w:r>
        <w:t xml:space="preserve"> </w:t>
      </w:r>
      <w:r>
        <w:t xml:space="preserve">21 (2):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38"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6"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3"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69"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0"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2" Target="https://doi.org/10.1046/j.1461-0248.2003.00497.x" TargetMode="External" /><Relationship Type="http://schemas.openxmlformats.org/officeDocument/2006/relationships/hyperlink" Id="rId34" Target="https://doi.org/10.1073/pnas.1508681112" TargetMode="External" /><Relationship Type="http://schemas.openxmlformats.org/officeDocument/2006/relationships/hyperlink" Id="rId61"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5" Target="https://doi.org/10.1098/rspb.2012.1931" TargetMode="External" /><Relationship Type="http://schemas.openxmlformats.org/officeDocument/2006/relationships/hyperlink" Id="rId48"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75" Target="https://doi.org/10.1111/ddi.13076"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7"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7"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4" Target="https://doi.org/10.1111/oik.05968" TargetMode="External" /><Relationship Type="http://schemas.openxmlformats.org/officeDocument/2006/relationships/hyperlink" Id="rId63" Target="https://doi.org/10.1126/science.1248484" TargetMode="External" /><Relationship Type="http://schemas.openxmlformats.org/officeDocument/2006/relationships/hyperlink" Id="rId59" Target="https://doi.org/10.1126/science.aap8826" TargetMode="External" /><Relationship Type="http://schemas.openxmlformats.org/officeDocument/2006/relationships/hyperlink" Id="rId44"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2" Target="https://doi.org/10.1371/journal.pbio.0020383" TargetMode="External" /><Relationship Type="http://schemas.openxmlformats.org/officeDocument/2006/relationships/hyperlink" Id="rId50" Target="https://doi.org/10.1371/journal.pone.0000140" TargetMode="External" /><Relationship Type="http://schemas.openxmlformats.org/officeDocument/2006/relationships/hyperlink" Id="rId71"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6"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2"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2022-02-02T10:25:45Z</dcterms:created>
  <dcterms:modified xsi:type="dcterms:W3CDTF">2022-02-02T10:25:45Z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2022-02-02</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 McGill et al. (2015)</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(2014)García-Navas et al. (2020) Blowes et al. (2019) McGill et al. (2015)</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