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2022-01-03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 H. M. Butchart et al. 2007</w:t>
        </w:r>
      </w:hyperlink>
      <w:r>
        <w:t xml:space="preserve">,</w:t>
      </w:r>
      <w:r>
        <w:t xml:space="preserve"> </w:t>
      </w:r>
      <w:hyperlink w:anchor="ref-butchart_measuring_2004">
        <w:r>
          <w:rPr>
            <w:rStyle w:val="Hyperlink"/>
          </w:rPr>
          <w:t xml:space="preserve">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fR, Eve, sR, Div, fD, tBetaDiv, sBetaDiv, fsBetaDiv, gammaDiv, fgammaDiv</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32 references in which authors were both determining the temporal trend of a metric and explicitly defining the spatial grain size. However, only 22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7e93579b-ad24-4671-a903-d910e5fc679f" w:name="tab:maintable"/>
      <w:r>
        <w:t xml:space="preserve">Trends of different metrics of biodiversity at various spatial and temporal scales</w:t>
      </w:r>
      <w:bookmarkEnd w:id="7e93579b-ad24-4671-a903-d910e5fc679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coverage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1999-2018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Switzerland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bl>
    <w:bookmarkEnd w:id="24"/>
    <w:bookmarkStart w:id="25"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22 articles is 3.5</w:t>
      </w:r>
      <w:r>
        <w:t xml:space="preserve">^{5}</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17 combinations of scales and metrics. Overall, there were 35</w:t>
      </w:r>
      <w:r>
        <w:t xml:space="preserve"> </w:t>
      </w:r>
      <w:r>
        <w:rPr>
          <w:iCs/>
          <w:i/>
        </w:rPr>
        <w:t xml:space="preserve">Decrease</w:t>
      </w:r>
      <w:r>
        <w:t xml:space="preserve">, 9</w:t>
      </w:r>
      <w:r>
        <w:t xml:space="preserve"> </w:t>
      </w:r>
      <w:r>
        <w:rPr>
          <w:iCs/>
          <w:i/>
        </w:rPr>
        <w:t xml:space="preserve">Increase</w:t>
      </w:r>
      <w:r>
        <w:t xml:space="preserve"> </w:t>
      </w:r>
      <w:r>
        <w:t xml:space="preserve">and 10</w:t>
      </w:r>
      <w:r>
        <w:t xml:space="preserve"> </w:t>
      </w:r>
      <w:r>
        <w:rPr>
          <w:iCs/>
          <w:i/>
        </w:rPr>
        <w:t xml:space="preserve">Stable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p>
      <w:pPr>
        <w:pStyle w:val="SourceCode"/>
      </w:pPr>
      <w:r>
        <w:rPr>
          <w:rStyle w:val="VerbatimChar"/>
        </w:rPr>
        <w:t xml:space="preserve">## png </w:t>
      </w:r>
      <w:r>
        <w:br/>
      </w:r>
      <w:r>
        <w:rPr>
          <w:rStyle w:val="VerbatimChar"/>
        </w:rPr>
        <w:t xml:space="preserve">##   2</w:t>
      </w:r>
    </w:p>
    <w:p>
      <w:pPr>
        <w:pStyle w:val="FirstParagraph"/>
      </w:pPr>
      <w:r>
        <w:rPr>
          <w:bCs/>
          <w:b/>
        </w:rPr>
        <w:t xml:space="preserve">Trends without pseudo-replicates:</w:t>
      </w:r>
    </w:p>
    <w:p>
      <w:pPr>
        <w:pStyle w:val="SourceCode"/>
      </w:pPr>
      <w:r>
        <w:rPr>
          <w:rStyle w:val="VerbatimChar"/>
        </w:rPr>
        <w:t xml:space="preserve">## png </w:t>
      </w:r>
      <w:r>
        <w:br/>
      </w:r>
      <w:r>
        <w:rPr>
          <w:rStyle w:val="VerbatimChar"/>
        </w:rPr>
        <w:t xml:space="preserve">##   2</w:t>
      </w:r>
    </w:p>
    <w:bookmarkEnd w:id="25"/>
    <w:bookmarkStart w:id="26"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and the median duration is 28 years, with a minimum time-span of 6 years and a maximum of 99. As the studies use mainly the same datasets (generally from Breeding Bird Surveys), only three different temporal grains were found (2.5, 3.4, 0.09, 1 hours).</w:t>
      </w:r>
    </w:p>
    <w:p>
      <w:pPr>
        <w:pStyle w:val="BodyText"/>
      </w:pPr>
      <w:r>
        <w:t xml:space="preserve">We found longest temporal lags in studies with large spatial extent (Figure</w:t>
      </w:r>
      <w:r>
        <w:t xml:space="preserve"> </w:t>
      </w:r>
      <w:r>
        <w:t xml:space="preserve">??</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SourceCode"/>
      </w:pPr>
      <w:r>
        <w:rPr>
          <w:rStyle w:val="VerbatimChar"/>
        </w:rPr>
        <w:t xml:space="preserve">## png </w:t>
      </w:r>
      <w:r>
        <w:br/>
      </w:r>
      <w:r>
        <w:rPr>
          <w:rStyle w:val="VerbatimChar"/>
        </w:rPr>
        <w:t xml:space="preserve">##   2</w:t>
      </w:r>
    </w:p>
    <w:bookmarkEnd w:id="26"/>
    <w:bookmarkStart w:id="27"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22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27"/>
    <w:bookmarkStart w:id="28"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28"/>
    <w:bookmarkStart w:id="29"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29"/>
    <w:bookmarkStart w:id="30"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0"/>
    <w:bookmarkStart w:id="31" w:name="supplementary-materials"/>
    <w:p>
      <w:pPr>
        <w:pStyle w:val="Heading1"/>
      </w:pPr>
      <w:r>
        <w:t xml:space="preserve">Supplementary materials</w:t>
      </w:r>
    </w:p>
    <w:p>
      <w:pPr>
        <w:pStyle w:val="FirstParagraph"/>
      </w:pPr>
      <w:r>
        <w:t xml:space="preserve">Table 9.1:</w:t>
      </w:r>
      <w:r>
        <w:t xml:space="preserve"> </w:t>
      </w:r>
      <w:bookmarkStart w:id="fd32dc21-dc87-4f55-be5e-0999e88d1879" w:name="tab:notetable"/>
      <w:r>
        <w:t xml:space="preserve">Supplementary informations about each article</w:t>
      </w:r>
      <w:bookmarkEnd w:id="fd32dc21-dc87-4f55-be5e-0999e88d187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there are 50 census points sampled for 3 minutes, Mean change of SR at the road scales. Area of the road = (40/0.8)*(pi*400\^2)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restricted to a rectangle between 95°W to 70°W and 30°N to 50°N.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British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Jaccard similarity index (pairwise comparisions between transects), first increase then decrease. BBMP = JPSP,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JPSP data, transect scale, "species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Shannon, American BBS. The metric (i.e. geometric mean)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evenness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French BBS, 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10 counting points per sites,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"In general, the results indicate that, during the time of the survey, more species expanded their geographical ranges within the study 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New York State BBA,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species richness, Fig. S5 shows the slope for birds. For the temporal beta-diversity, trend only for birds is not explicited so we took the global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Index use Jaccard similiarity index. In this review, temporal beta-diversity is assessed as dissimilarity.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sorensen score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is the median. Tropical realm is represented only by 5 trends so we decided to not take in into account.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bl>
    <w:p>
      <w:r>
        <w:br w:type="page"/>
      </w:r>
    </w:p>
    <w:bookmarkEnd w:id="31"/>
    <w:bookmarkStart w:id="186" w:name="references"/>
    <w:p>
      <w:pPr>
        <w:pStyle w:val="Heading1"/>
      </w:pPr>
      <w:r>
        <w:t xml:space="preserve">References</w:t>
      </w:r>
    </w:p>
    <w:bookmarkStart w:id="185" w:name="refs"/>
    <w:bookmarkStart w:id="33"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2">
        <w:r>
          <w:rPr>
            <w:rStyle w:val="Hyperlink"/>
          </w:rPr>
          <w:t xml:space="preserve">https://doi.org/10.1046/j.1461-0248.2003.00497.x</w:t>
        </w:r>
      </w:hyperlink>
      <w:r>
        <w:t xml:space="preserve">.</w:t>
      </w:r>
    </w:p>
    <w:bookmarkEnd w:id="33"/>
    <w:bookmarkStart w:id="35"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4">
        <w:r>
          <w:rPr>
            <w:rStyle w:val="Hyperlink"/>
          </w:rPr>
          <w:t xml:space="preserve">https://doi.org/10.1073/pnas.1508681112</w:t>
        </w:r>
      </w:hyperlink>
      <w:r>
        <w:t xml:space="preserve">.</w:t>
      </w:r>
    </w:p>
    <w:bookmarkEnd w:id="35"/>
    <w:bookmarkStart w:id="37" w:name="ref-arrhenius_species_1921"/>
    <w:p>
      <w:pPr>
        <w:pStyle w:val="Bibliography"/>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Hyperlink"/>
          </w:rPr>
          <w:t xml:space="preserve">https://doi.org/10.2307/2255763</w:t>
        </w:r>
      </w:hyperlink>
      <w:r>
        <w:t xml:space="preserve">.</w:t>
      </w:r>
    </w:p>
    <w:bookmarkEnd w:id="37"/>
    <w:bookmarkStart w:id="39"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 United States.”</w:t>
      </w:r>
      <w:r>
        <w:t xml:space="preserve"> </w:t>
      </w:r>
      <w:r>
        <w:rPr>
          <w:iCs/>
          <w:i/>
        </w:rPr>
        <w:t xml:space="preserve">Oecologia</w:t>
      </w:r>
      <w:r>
        <w:t xml:space="preserve"> </w:t>
      </w:r>
      <w:r>
        <w:t xml:space="preserve">185 (4): 737–48.</w:t>
      </w:r>
      <w:r>
        <w:t xml:space="preserve"> </w:t>
      </w:r>
      <w:hyperlink r:id="rId38">
        <w:r>
          <w:rPr>
            <w:rStyle w:val="Hyperlink"/>
          </w:rPr>
          <w:t xml:space="preserve">https://doi.org/10.1007/s00442-017-3967-4</w:t>
        </w:r>
      </w:hyperlink>
      <w:r>
        <w:t xml:space="preserve">.</w:t>
      </w:r>
    </w:p>
    <w:bookmarkEnd w:id="39"/>
    <w:bookmarkStart w:id="41" w:name="ref-barnosky_has_2011"/>
    <w:p>
      <w:pPr>
        <w:pStyle w:val="Bibliography"/>
      </w:pPr>
      <w:r>
        <w:t xml:space="preserve">Barnosky, Anthony D., Nicholas Matzke, Susumu Tomiya, Guinevere O. U. Wogan, Brian Swartz, Tiago B. Quental, Charles Marshall, et al. 2011.</w:t>
      </w:r>
      <w:r>
        <w:t xml:space="preserve"> </w:t>
      </w:r>
      <w:r>
        <w:t xml:space="preserve">“Has the Earth’s Sixth Mass Extinction Already Arrived?”</w:t>
      </w:r>
      <w:r>
        <w:t xml:space="preserve"> </w:t>
      </w:r>
      <w:r>
        <w:rPr>
          <w:iCs/>
          <w:i/>
        </w:rPr>
        <w:t xml:space="preserve">Nature</w:t>
      </w:r>
      <w:r>
        <w:t xml:space="preserve"> </w:t>
      </w:r>
      <w:r>
        <w:t xml:space="preserve">471 (7336): 51–57.</w:t>
      </w:r>
      <w:r>
        <w:t xml:space="preserve"> </w:t>
      </w:r>
      <w:hyperlink r:id="rId40">
        <w:r>
          <w:rPr>
            <w:rStyle w:val="Hyperlink"/>
          </w:rPr>
          <w:t xml:space="preserve">https://doi.org/10.1038/nature09678</w:t>
        </w:r>
      </w:hyperlink>
      <w:r>
        <w:t xml:space="preserve">.</w:t>
      </w:r>
    </w:p>
    <w:bookmarkEnd w:id="41"/>
    <w:bookmarkStart w:id="43"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2">
        <w:r>
          <w:rPr>
            <w:rStyle w:val="Hyperlink"/>
          </w:rPr>
          <w:t xml:space="preserve">https://vesmir.cz/cz/on-line-clanky/2016/04/velke-ptaci-mapovani.html</w:t>
        </w:r>
      </w:hyperlink>
      <w:r>
        <w:t xml:space="preserve">.</w:t>
      </w:r>
    </w:p>
    <w:bookmarkEnd w:id="43"/>
    <w:bookmarkStart w:id="45"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4">
        <w:r>
          <w:rPr>
            <w:rStyle w:val="Hyperlink"/>
          </w:rPr>
          <w:t xml:space="preserve">https://doi.org/10.1126/science.aaw1620</w:t>
        </w:r>
      </w:hyperlink>
      <w:r>
        <w:t xml:space="preserve">.</w:t>
      </w:r>
    </w:p>
    <w:bookmarkEnd w:id="45"/>
    <w:bookmarkStart w:id="47"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 Europe.”</w:t>
      </w:r>
      <w:r>
        <w:t xml:space="preserve"> </w:t>
      </w:r>
      <w:r>
        <w:rPr>
          <w:iCs/>
          <w:i/>
        </w:rPr>
        <w:t xml:space="preserve">Basic and Applied Ecology</w:t>
      </w:r>
      <w:r>
        <w:t xml:space="preserve"> </w:t>
      </w:r>
      <w:r>
        <w:t xml:space="preserve">56 (November): 72–84.</w:t>
      </w:r>
      <w:r>
        <w:t xml:space="preserve"> </w:t>
      </w:r>
      <w:hyperlink r:id="rId46">
        <w:r>
          <w:rPr>
            <w:rStyle w:val="Hyperlink"/>
          </w:rPr>
          <w:t xml:space="preserve">https://doi.org/10.1016/j.baae.2021.07.004</w:t>
        </w:r>
      </w:hyperlink>
      <w:r>
        <w:t xml:space="preserve">.</w:t>
      </w:r>
    </w:p>
    <w:bookmarkEnd w:id="47"/>
    <w:bookmarkStart w:id="49" w:name="ref-butchart_using_2005"/>
    <w:p>
      <w:pPr>
        <w:pStyle w:val="Bibliography"/>
      </w:pPr>
      <w:r>
        <w:t xml:space="preserve">Butchart, S.h.m, A.j Stattersfield, J Baillie, L.a Bennun, S.n Stuart, H.r Akçakaya, C Hilton-Taylor, and G.m Mace. 2005.</w:t>
      </w:r>
      <w:r>
        <w:t xml:space="preserve"> </w:t>
      </w:r>
      <w:r>
        <w:t xml:space="preserve">“Using Red List Indices 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48">
        <w:r>
          <w:rPr>
            <w:rStyle w:val="Hyperlink"/>
          </w:rPr>
          <w:t xml:space="preserve">https://doi.org/10.1098/rstb.2004.1583</w:t>
        </w:r>
      </w:hyperlink>
      <w:r>
        <w:t xml:space="preserve">.</w:t>
      </w:r>
    </w:p>
    <w:bookmarkEnd w:id="49"/>
    <w:bookmarkStart w:id="51"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 Red List Index.”</w:t>
      </w:r>
      <w:r>
        <w:t xml:space="preserve"> </w:t>
      </w:r>
      <w:r>
        <w:rPr>
          <w:iCs/>
          <w:i/>
        </w:rPr>
        <w:t xml:space="preserve">PLOS</w:t>
      </w:r>
      <w:r>
        <w:rPr>
          <w:iCs/>
          <w:i/>
        </w:rPr>
        <w:t xml:space="preserve"> </w:t>
      </w:r>
      <w:r>
        <w:rPr>
          <w:iCs/>
          <w:i/>
        </w:rPr>
        <w:t xml:space="preserve">ONE</w:t>
      </w:r>
      <w:r>
        <w:t xml:space="preserve"> </w:t>
      </w:r>
      <w:r>
        <w:t xml:space="preserve">2 (1): e140.</w:t>
      </w:r>
      <w:r>
        <w:t xml:space="preserve"> </w:t>
      </w:r>
      <w:hyperlink r:id="rId50">
        <w:r>
          <w:rPr>
            <w:rStyle w:val="Hyperlink"/>
          </w:rPr>
          <w:t xml:space="preserve">https://doi.org/10.1371/journal.pone.0000140</w:t>
        </w:r>
      </w:hyperlink>
      <w:r>
        <w:t xml:space="preserve">.</w:t>
      </w:r>
    </w:p>
    <w:bookmarkEnd w:id="51"/>
    <w:bookmarkStart w:id="53"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 Global Trends in the Status of Biodiversity: Red List Indices for Birds.”</w:t>
      </w:r>
      <w:r>
        <w:t xml:space="preserve"> </w:t>
      </w:r>
      <w:r>
        <w:rPr>
          <w:iCs/>
          <w:i/>
        </w:rPr>
        <w:t xml:space="preserve">PLOS</w:t>
      </w:r>
      <w:r>
        <w:rPr>
          <w:iCs/>
          <w:i/>
        </w:rPr>
        <w:t xml:space="preserve"> </w:t>
      </w:r>
      <w:r>
        <w:rPr>
          <w:iCs/>
          <w:i/>
        </w:rPr>
        <w:t xml:space="preserve">Biology</w:t>
      </w:r>
      <w:r>
        <w:t xml:space="preserve"> </w:t>
      </w:r>
      <w:r>
        <w:t xml:space="preserve">2 (12): e383.</w:t>
      </w:r>
      <w:r>
        <w:t xml:space="preserve"> </w:t>
      </w:r>
      <w:hyperlink r:id="rId52">
        <w:r>
          <w:rPr>
            <w:rStyle w:val="Hyperlink"/>
          </w:rPr>
          <w:t xml:space="preserve">https://doi.org/10.1371/journal.pbio.0020383</w:t>
        </w:r>
      </w:hyperlink>
      <w:r>
        <w:t xml:space="preserve">.</w:t>
      </w:r>
    </w:p>
    <w:bookmarkEnd w:id="53"/>
    <w:bookmarkStart w:id="55"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4">
        <w:r>
          <w:rPr>
            <w:rStyle w:val="Hyperlink"/>
          </w:rPr>
          <w:t xml:space="preserve">https://doi.org/10.1111/oik.05968</w:t>
        </w:r>
      </w:hyperlink>
      <w:r>
        <w:t xml:space="preserve">.</w:t>
      </w:r>
    </w:p>
    <w:bookmarkEnd w:id="55"/>
    <w:bookmarkStart w:id="56"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6"/>
    <w:bookmarkStart w:id="58"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57">
        <w:r>
          <w:rPr>
            <w:rStyle w:val="Hyperlink"/>
          </w:rPr>
          <w:t xml:space="preserve">https://doi.org/10.1111/j.1466-8238.2011.00693.x</w:t>
        </w:r>
      </w:hyperlink>
      <w:r>
        <w:t xml:space="preserve">.</w:t>
      </w:r>
    </w:p>
    <w:bookmarkEnd w:id="58"/>
    <w:bookmarkStart w:id="60"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59">
        <w:r>
          <w:rPr>
            <w:rStyle w:val="Hyperlink"/>
          </w:rPr>
          <w:t xml:space="preserve">https://doi.org/10.1126/science.aap8826</w:t>
        </w:r>
      </w:hyperlink>
      <w:r>
        <w:t xml:space="preserve">.</w:t>
      </w:r>
    </w:p>
    <w:bookmarkEnd w:id="60"/>
    <w:bookmarkStart w:id="62" w:name="ref-donald_agricultural_2001"/>
    <w:p>
      <w:pPr>
        <w:pStyle w:val="Bibliography"/>
      </w:pPr>
      <w:r>
        <w:t xml:space="preserve">Donald, P. F., R. E. Green, and M. F. Heath. 2001.</w:t>
      </w:r>
      <w:r>
        <w:t xml:space="preserve"> </w:t>
      </w:r>
      <w:r>
        <w:t xml:space="preserve">“Agricultural Intensification and the Collapse of Europe’s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1">
        <w:r>
          <w:rPr>
            <w:rStyle w:val="Hyperlink"/>
          </w:rPr>
          <w:t xml:space="preserve">https://doi.org/10.1098/rspb.2000.1325</w:t>
        </w:r>
      </w:hyperlink>
      <w:r>
        <w:t xml:space="preserve">.</w:t>
      </w:r>
    </w:p>
    <w:bookmarkEnd w:id="62"/>
    <w:bookmarkStart w:id="64" w:name="ref-dornelas_assemblage_2014"/>
    <w:p>
      <w:pPr>
        <w:pStyle w:val="Bibliography"/>
      </w:pPr>
      <w:r>
        <w:t xml:space="preserve">Dornelas, Maria, Nicholas J. Gotelli, Brian McGill, Hideyasu Shimadzu, Faye Moyes, Caya Sievers, and Anne E. Magurran. 2014.</w:t>
      </w:r>
      <w:r>
        <w:t xml:space="preserve"> </w:t>
      </w:r>
      <w:r>
        <w:t xml:space="preserve">“Assemblage Time Series Reveal Biodiversity Change but Not Systematic Loss.”</w:t>
      </w:r>
      <w:r>
        <w:t xml:space="preserve"> </w:t>
      </w:r>
      <w:r>
        <w:rPr>
          <w:iCs/>
          <w:i/>
        </w:rPr>
        <w:t xml:space="preserve">Science</w:t>
      </w:r>
      <w:r>
        <w:t xml:space="preserve"> </w:t>
      </w:r>
      <w:r>
        <w:t xml:space="preserve">344 (6181): 296–99.</w:t>
      </w:r>
      <w:r>
        <w:t xml:space="preserve"> </w:t>
      </w:r>
      <w:hyperlink r:id="rId63">
        <w:r>
          <w:rPr>
            <w:rStyle w:val="Hyperlink"/>
          </w:rPr>
          <w:t xml:space="preserve">https://doi.org/10.1126/science.1248484</w:t>
        </w:r>
      </w:hyperlink>
      <w:r>
        <w:t xml:space="preserve">.</w:t>
      </w:r>
    </w:p>
    <w:bookmarkEnd w:id="64"/>
    <w:bookmarkStart w:id="66"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65">
        <w:r>
          <w:rPr>
            <w:rStyle w:val="Hyperlink"/>
          </w:rPr>
          <w:t xml:space="preserve">https://doi.org/10.1098/rspb.2012.1931</w:t>
        </w:r>
      </w:hyperlink>
      <w:r>
        <w:t xml:space="preserve">.</w:t>
      </w:r>
    </w:p>
    <w:bookmarkEnd w:id="66"/>
    <w:bookmarkStart w:id="68"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 France.”</w:t>
      </w:r>
      <w:r>
        <w:t xml:space="preserve"> </w:t>
      </w:r>
      <w:r>
        <w:rPr>
          <w:iCs/>
          <w:i/>
        </w:rPr>
        <w:t xml:space="preserve">Journal of Applied Ecology</w:t>
      </w:r>
      <w:r>
        <w:t xml:space="preserve"> </w:t>
      </w:r>
      <w:r>
        <w:t xml:space="preserve">47 (6): 1348–56.</w:t>
      </w:r>
      <w:r>
        <w:t xml:space="preserve"> </w:t>
      </w:r>
      <w:hyperlink r:id="rId67">
        <w:r>
          <w:rPr>
            <w:rStyle w:val="Hyperlink"/>
          </w:rPr>
          <w:t xml:space="preserve">https://doi.org/10.1111/j.1365-2664.2010.01869.x</w:t>
        </w:r>
      </w:hyperlink>
      <w:r>
        <w:t xml:space="preserve">.</w:t>
      </w:r>
    </w:p>
    <w:bookmarkEnd w:id="68"/>
    <w:bookmarkStart w:id="70"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69">
        <w:r>
          <w:rPr>
            <w:rStyle w:val="Hyperlink"/>
          </w:rPr>
          <w:t xml:space="preserve">https://doi.org/10.1034/j.1600-0587.2002.250510.x</w:t>
        </w:r>
      </w:hyperlink>
      <w:r>
        <w:t xml:space="preserve">.</w:t>
      </w:r>
    </w:p>
    <w:bookmarkEnd w:id="70"/>
    <w:bookmarkStart w:id="72" w:name="ref-eglington_disentangling_2012"/>
    <w:p>
      <w:pPr>
        <w:pStyle w:val="Bibliography"/>
      </w:pPr>
      <w:r>
        <w:t xml:space="preserve">Eglington, Sarah M., and James W. Pearce-Higgins. 2012.</w:t>
      </w:r>
      <w:r>
        <w:t xml:space="preserve"> </w:t>
      </w:r>
      <w:r>
        <w:t xml:space="preserve">“Disentangling the Relative Importance of Changes in Climate and Land-Use Intensity in Driving Recent Bird Population Trends.”</w:t>
      </w:r>
      <w:r>
        <w:t xml:space="preserve"> </w:t>
      </w:r>
      <w:r>
        <w:t xml:space="preserve">Edited by Raphaël Arlettaz.</w:t>
      </w:r>
      <w:r>
        <w:t xml:space="preserve"> </w:t>
      </w:r>
      <w:r>
        <w:rPr>
          <w:iCs/>
          <w:i/>
        </w:rPr>
        <w:t xml:space="preserve">PLoS</w:t>
      </w:r>
      <w:r>
        <w:rPr>
          <w:iCs/>
          <w:i/>
        </w:rPr>
        <w:t xml:space="preserve"> </w:t>
      </w:r>
      <w:r>
        <w:rPr>
          <w:iCs/>
          <w:i/>
        </w:rPr>
        <w:t xml:space="preserve">ONE</w:t>
      </w:r>
      <w:r>
        <w:t xml:space="preserve"> </w:t>
      </w:r>
      <w:r>
        <w:t xml:space="preserve">7 (3): e30407.</w:t>
      </w:r>
      <w:r>
        <w:t xml:space="preserve"> </w:t>
      </w:r>
      <w:hyperlink r:id="rId71">
        <w:r>
          <w:rPr>
            <w:rStyle w:val="Hyperlink"/>
          </w:rPr>
          <w:t xml:space="preserve">https://doi.org/10.1371/journal.pone.0030407</w:t>
        </w:r>
      </w:hyperlink>
      <w:r>
        <w:t xml:space="preserve">.</w:t>
      </w:r>
    </w:p>
    <w:bookmarkEnd w:id="72"/>
    <w:bookmarkStart w:id="74"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 Advances, Challenges, and Future Directions.”</w:t>
      </w:r>
      <w:r>
        <w:t xml:space="preserve"> </w:t>
      </w:r>
      <w:r>
        <w:rPr>
          <w:iCs/>
          <w:i/>
        </w:rPr>
        <w:t xml:space="preserve">Ecological Indicators</w:t>
      </w:r>
      <w:r>
        <w:t xml:space="preserve"> </w:t>
      </w:r>
      <w:r>
        <w:t xml:space="preserve">118 (November): 106728.</w:t>
      </w:r>
      <w:r>
        <w:t xml:space="preserve"> </w:t>
      </w:r>
      <w:hyperlink r:id="rId73">
        <w:r>
          <w:rPr>
            <w:rStyle w:val="Hyperlink"/>
          </w:rPr>
          <w:t xml:space="preserve">https://doi.org/10.1016/j.ecolind.2020.106728</w:t>
        </w:r>
      </w:hyperlink>
      <w:r>
        <w:t xml:space="preserve">.</w:t>
      </w:r>
    </w:p>
    <w:bookmarkEnd w:id="74"/>
    <w:bookmarkStart w:id="76" w:name="ref-garcia-navas_temporal_2020"/>
    <w:p>
      <w:pPr>
        <w:pStyle w:val="Bibliography"/>
      </w:pPr>
      <w:r>
        <w:t xml:space="preserve">García-Navas, Vicente, Thomas Sattler, Hans Schmid, and Arpat Ozgul. 2020.</w:t>
      </w:r>
      <w:r>
        <w:t xml:space="preserve"> </w:t>
      </w:r>
      <w:r>
        <w:t xml:space="preserve">“Temporal Homogenization of Functional and Beta Diversity in Bird Communities of the Swiss Alps.”</w:t>
      </w:r>
      <w:r>
        <w:t xml:space="preserve"> </w:t>
      </w:r>
      <w:r>
        <w:rPr>
          <w:iCs/>
          <w:i/>
        </w:rPr>
        <w:t xml:space="preserve">Diversity and Distributions</w:t>
      </w:r>
      <w:r>
        <w:t xml:space="preserve"> </w:t>
      </w:r>
      <w:r>
        <w:t xml:space="preserve">26 (8): 900–911.</w:t>
      </w:r>
      <w:r>
        <w:t xml:space="preserve"> </w:t>
      </w:r>
      <w:hyperlink r:id="rId75">
        <w:r>
          <w:rPr>
            <w:rStyle w:val="Hyperlink"/>
          </w:rPr>
          <w:t xml:space="preserve">https://doi.org/10.1111/ddi.13076</w:t>
        </w:r>
      </w:hyperlink>
      <w:r>
        <w:t xml:space="preserve">.</w:t>
      </w:r>
    </w:p>
    <w:bookmarkEnd w:id="76"/>
    <w:bookmarkStart w:id="78"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77">
        <w:r>
          <w:rPr>
            <w:rStyle w:val="Hyperlink"/>
          </w:rPr>
          <w:t xml:space="preserve">https://doi.org/10.2326/osj.9.3</w:t>
        </w:r>
      </w:hyperlink>
      <w:r>
        <w:t xml:space="preserve">.</w:t>
      </w:r>
    </w:p>
    <w:bookmarkEnd w:id="78"/>
    <w:bookmarkStart w:id="79"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79"/>
    <w:bookmarkStart w:id="81"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 European Birds.”</w:t>
      </w:r>
      <w:r>
        <w:t xml:space="preserve"> </w:t>
      </w:r>
      <w:r>
        <w:rPr>
          <w:iCs/>
          <w:i/>
        </w:rPr>
        <w:t xml:space="preserve">Philosophical Transactions of the Royal Society B: Biological Sciences</w:t>
      </w:r>
      <w:r>
        <w:t xml:space="preserve"> </w:t>
      </w:r>
      <w:r>
        <w:t xml:space="preserve">360 (1454): 269–88.</w:t>
      </w:r>
      <w:r>
        <w:t xml:space="preserve"> </w:t>
      </w:r>
      <w:hyperlink r:id="rId80">
        <w:r>
          <w:rPr>
            <w:rStyle w:val="Hyperlink"/>
          </w:rPr>
          <w:t xml:space="preserve">https://doi.org/10.1098/rstb.2004.1602</w:t>
        </w:r>
      </w:hyperlink>
      <w:r>
        <w:t xml:space="preserve">.</w:t>
      </w:r>
    </w:p>
    <w:bookmarkEnd w:id="81"/>
    <w:bookmarkStart w:id="83" w:name="ref-grinnell_role_1922"/>
    <w:p>
      <w:pPr>
        <w:pStyle w:val="Bibliography"/>
      </w:pPr>
      <w:r>
        <w:t xml:space="preserve">Grinnell, Joseph. 1922.</w:t>
      </w:r>
      <w:r>
        <w:t xml:space="preserve"> </w:t>
      </w:r>
      <w:r>
        <w:t xml:space="preserve">“The Role of the</w:t>
      </w:r>
      <w:r>
        <w:t xml:space="preserve"> </w:t>
      </w:r>
      <w:r>
        <w:t xml:space="preserve">‘Accidental’</w:t>
      </w:r>
      <w:r>
        <w:t xml:space="preserve">.”</w:t>
      </w:r>
      <w:r>
        <w:t xml:space="preserve"> </w:t>
      </w:r>
      <w:r>
        <w:rPr>
          <w:iCs/>
          <w:i/>
        </w:rPr>
        <w:t xml:space="preserve">The Auk</w:t>
      </w:r>
      <w:r>
        <w:t xml:space="preserve"> </w:t>
      </w:r>
      <w:r>
        <w:t xml:space="preserve">39 (3): 373–80.</w:t>
      </w:r>
      <w:r>
        <w:t xml:space="preserve"> </w:t>
      </w:r>
      <w:hyperlink r:id="rId82">
        <w:r>
          <w:rPr>
            <w:rStyle w:val="Hyperlink"/>
          </w:rPr>
          <w:t xml:space="preserve">https://doi.org/10.2307/4073434</w:t>
        </w:r>
      </w:hyperlink>
      <w:r>
        <w:t xml:space="preserve">.</w:t>
      </w:r>
    </w:p>
    <w:bookmarkEnd w:id="83"/>
    <w:bookmarkStart w:id="85"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 British Breeding Birds.”</w:t>
      </w:r>
      <w:r>
        <w:t xml:space="preserve"> </w:t>
      </w:r>
      <w:r>
        <w:rPr>
          <w:iCs/>
          <w:i/>
        </w:rPr>
        <w:t xml:space="preserve">Journal of Applied Ecology</w:t>
      </w:r>
      <w:r>
        <w:t xml:space="preserve"> </w:t>
      </w:r>
      <w:r>
        <w:t xml:space="preserve">51 (6): 1650–60.</w:t>
      </w:r>
      <w:r>
        <w:t xml:space="preserve"> </w:t>
      </w:r>
      <w:hyperlink r:id="rId84">
        <w:r>
          <w:rPr>
            <w:rStyle w:val="Hyperlink"/>
          </w:rPr>
          <w:t xml:space="preserve">https://doi.org/10.1111/1365-2664.12316</w:t>
        </w:r>
      </w:hyperlink>
      <w:r>
        <w:t xml:space="preserve">.</w:t>
      </w:r>
    </w:p>
    <w:bookmarkEnd w:id="85"/>
    <w:bookmarkStart w:id="87"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6">
        <w:r>
          <w:rPr>
            <w:rStyle w:val="Hyperlink"/>
          </w:rPr>
          <w:t xml:space="preserve">https://doi.org/10.1111/j.0021-8901.2004.00926.x</w:t>
        </w:r>
      </w:hyperlink>
      <w:r>
        <w:t xml:space="preserve">.</w:t>
      </w:r>
    </w:p>
    <w:bookmarkEnd w:id="87"/>
    <w:bookmarkStart w:id="89" w:name="ref-hill_diversity_1973"/>
    <w:p>
      <w:pPr>
        <w:pStyle w:val="Bibliography"/>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r>
        <w:t xml:space="preserve"> </w:t>
      </w:r>
      <w:hyperlink r:id="rId88">
        <w:r>
          <w:rPr>
            <w:rStyle w:val="Hyperlink"/>
          </w:rPr>
          <w:t xml:space="preserve">https://doi.org/10.2307/1934352</w:t>
        </w:r>
      </w:hyperlink>
      <w:r>
        <w:t xml:space="preserve">.</w:t>
      </w:r>
    </w:p>
    <w:bookmarkEnd w:id="89"/>
    <w:bookmarkStart w:id="91" w:name="ref-isaac_data_2020"/>
    <w:p>
      <w:pPr>
        <w:pStyle w:val="Bibliography"/>
      </w:pPr>
      <w:r>
        <w:t xml:space="preserve">Isaac, Nick J. B., Marta A. Jarzyna, Petr Keil, Lea I. Dambly, Philipp H. Boersch-Supan, Ella Browning, Stephen N. Freeman, et al. 2020.</w:t>
      </w:r>
      <w:r>
        <w:t xml:space="preserve"> </w:t>
      </w:r>
      <w:r>
        <w:t xml:space="preserve">“Data Integration for Large-Scale Models of Species Distributions.”</w:t>
      </w:r>
      <w:r>
        <w:t xml:space="preserve"> </w:t>
      </w:r>
      <w:r>
        <w:rPr>
          <w:iCs/>
          <w:i/>
        </w:rPr>
        <w:t xml:space="preserve">Trends in Ecology &amp; Evolution</w:t>
      </w:r>
      <w:r>
        <w:t xml:space="preserve"> </w:t>
      </w:r>
      <w:r>
        <w:t xml:space="preserve">35 (1): 56–67.</w:t>
      </w:r>
      <w:r>
        <w:t xml:space="preserve"> </w:t>
      </w:r>
      <w:hyperlink r:id="rId90">
        <w:r>
          <w:rPr>
            <w:rStyle w:val="Hyperlink"/>
          </w:rPr>
          <w:t xml:space="preserve">https://doi.org/10.1016/j.tree.2019.08.006</w:t>
        </w:r>
      </w:hyperlink>
      <w:r>
        <w:t xml:space="preserve">.</w:t>
      </w:r>
    </w:p>
    <w:bookmarkEnd w:id="91"/>
    <w:bookmarkStart w:id="93"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2">
        <w:r>
          <w:rPr>
            <w:rStyle w:val="Hyperlink"/>
          </w:rPr>
          <w:t xml:space="preserve">https://doi.org/10.1111/2041-210X.12254</w:t>
        </w:r>
      </w:hyperlink>
      <w:r>
        <w:t xml:space="preserve">.</w:t>
      </w:r>
    </w:p>
    <w:bookmarkEnd w:id="93"/>
    <w:bookmarkStart w:id="95"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4">
        <w:r>
          <w:rPr>
            <w:rStyle w:val="Hyperlink"/>
          </w:rPr>
          <w:t xml:space="preserve">https://doi.org/10.1111/gcb.13571</w:t>
        </w:r>
      </w:hyperlink>
      <w:r>
        <w:t xml:space="preserve">.</w:t>
      </w:r>
    </w:p>
    <w:bookmarkEnd w:id="95"/>
    <w:bookmarkStart w:id="97"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6">
        <w:r>
          <w:rPr>
            <w:rStyle w:val="Hyperlink"/>
          </w:rPr>
          <w:t xml:space="preserve">https://doi.org/10.1038/s41467-018-04889-z</w:t>
        </w:r>
      </w:hyperlink>
      <w:r>
        <w:t xml:space="preserve">.</w:t>
      </w:r>
    </w:p>
    <w:bookmarkEnd w:id="97"/>
    <w:bookmarkStart w:id="99"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 Scale Dependence of Community Turnover.”</w:t>
      </w:r>
      <w:r>
        <w:t xml:space="preserve"> </w:t>
      </w:r>
      <w:r>
        <w:rPr>
          <w:iCs/>
          <w:i/>
        </w:rPr>
        <w:t xml:space="preserve">Global Ecology and Biogeography</w:t>
      </w:r>
      <w:r>
        <w:t xml:space="preserve"> </w:t>
      </w:r>
      <w:r>
        <w:t xml:space="preserve">24 (11): 1236–48.</w:t>
      </w:r>
      <w:r>
        <w:t xml:space="preserve"> </w:t>
      </w:r>
      <w:hyperlink r:id="rId98">
        <w:r>
          <w:rPr>
            <w:rStyle w:val="Hyperlink"/>
          </w:rPr>
          <w:t xml:space="preserve">https://doi.org/10.1111/geb.12361</w:t>
        </w:r>
      </w:hyperlink>
      <w:r>
        <w:t xml:space="preserve">.</w:t>
      </w:r>
    </w:p>
    <w:bookmarkEnd w:id="99"/>
    <w:bookmarkStart w:id="101" w:name="ref-jiguet_modeling_2005"/>
    <w:p>
      <w:pPr>
        <w:pStyle w:val="Bibliography"/>
      </w:pPr>
      <w:r>
        <w:t xml:space="preserve">Jiguet, Frederic, Romain Julliard, Denis Couvet, and Aurelie Petiau. 2005.</w:t>
      </w:r>
      <w:r>
        <w:t xml:space="preserve"> </w:t>
      </w:r>
      <w:r>
        <w:t xml:space="preserve">“Modeling Spatial Trends in Estimated Species Richness Using Breeding Bird Survey Data: A Valuable Tool in Biodiversity Assessment.”</w:t>
      </w:r>
      <w:r>
        <w:t xml:space="preserve"> </w:t>
      </w:r>
      <w:r>
        <w:rPr>
          <w:iCs/>
          <w:i/>
        </w:rPr>
        <w:t xml:space="preserve">Biodiversity and Conservation</w:t>
      </w:r>
      <w:r>
        <w:t xml:space="preserve"> </w:t>
      </w:r>
      <w:r>
        <w:t xml:space="preserve">14 (13): 3305–24.</w:t>
      </w:r>
      <w:r>
        <w:t xml:space="preserve"> </w:t>
      </w:r>
      <w:hyperlink r:id="rId100">
        <w:r>
          <w:rPr>
            <w:rStyle w:val="Hyperlink"/>
          </w:rPr>
          <w:t xml:space="preserve">https://doi.org/10.1007/s10531-004-0448-y</w:t>
        </w:r>
      </w:hyperlink>
      <w:r>
        <w:t xml:space="preserve">.</w:t>
      </w:r>
    </w:p>
    <w:bookmarkEnd w:id="101"/>
    <w:bookmarkStart w:id="103"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Sino-french cooperation on biodiversity and natural resource management, 44 (October): 58–66.</w:t>
      </w:r>
      <w:r>
        <w:t xml:space="preserve"> </w:t>
      </w:r>
      <w:hyperlink r:id="rId102">
        <w:r>
          <w:rPr>
            <w:rStyle w:val="Hyperlink"/>
          </w:rPr>
          <w:t xml:space="preserve">https://doi.org/10.1016/j.actao.2011.05.003</w:t>
        </w:r>
      </w:hyperlink>
      <w:r>
        <w:t xml:space="preserve">.</w:t>
      </w:r>
    </w:p>
    <w:bookmarkEnd w:id="103"/>
    <w:bookmarkStart w:id="105"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 European 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4">
        <w:r>
          <w:rPr>
            <w:rStyle w:val="Hyperlink"/>
          </w:rPr>
          <w:t xml:space="preserve">https://doi.org/10.1111/j.1365-2486.2009.01963.x</w:t>
        </w:r>
      </w:hyperlink>
      <w:r>
        <w:t xml:space="preserve">.</w:t>
      </w:r>
    </w:p>
    <w:bookmarkEnd w:id="105"/>
    <w:bookmarkStart w:id="107"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 Germany 1990–2018.”</w:t>
      </w:r>
      <w:r>
        <w:t xml:space="preserve"> </w:t>
      </w:r>
      <w:r>
        <w:rPr>
          <w:iCs/>
          <w:i/>
        </w:rPr>
        <w:t xml:space="preserve">Journal of Ornithology</w:t>
      </w:r>
      <w:r>
        <w:t xml:space="preserve"> </w:t>
      </w:r>
      <w:r>
        <w:t xml:space="preserve">162 (1): 1–15.</w:t>
      </w:r>
      <w:r>
        <w:t xml:space="preserve"> </w:t>
      </w:r>
      <w:hyperlink r:id="rId106">
        <w:r>
          <w:rPr>
            <w:rStyle w:val="Hyperlink"/>
          </w:rPr>
          <w:t xml:space="preserve">https://doi.org/10.1007/s10336-020-01830-4</w:t>
        </w:r>
      </w:hyperlink>
      <w:r>
        <w:t xml:space="preserve">.</w:t>
      </w:r>
    </w:p>
    <w:bookmarkEnd w:id="107"/>
    <w:bookmarkStart w:id="109"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 Dutch and</w:t>
      </w:r>
      <w:r>
        <w:t xml:space="preserve"> </w:t>
      </w:r>
      <w:r>
        <w:t xml:space="preserve">UK</w:t>
      </w:r>
      <w:r>
        <w:t xml:space="preserve"> </w:t>
      </w:r>
      <w:r>
        <w:t xml:space="preserve">Hoverflies (Diptera, Syrphidae).”</w:t>
      </w:r>
      <w:r>
        <w:t xml:space="preserve"> </w:t>
      </w:r>
      <w:r>
        <w:rPr>
          <w:iCs/>
          <w:i/>
        </w:rPr>
        <w:t xml:space="preserve">Ecography</w:t>
      </w:r>
      <w:r>
        <w:t xml:space="preserve"> </w:t>
      </w:r>
      <w:r>
        <w:t xml:space="preserve">34 (3): 392–401.</w:t>
      </w:r>
      <w:r>
        <w:t xml:space="preserve"> </w:t>
      </w:r>
      <w:hyperlink r:id="rId108">
        <w:r>
          <w:rPr>
            <w:rStyle w:val="Hyperlink"/>
          </w:rPr>
          <w:t xml:space="preserve">https://doi.org/10.1111/j.1600-0587.2010.06554.x</w:t>
        </w:r>
      </w:hyperlink>
      <w:r>
        <w:t xml:space="preserve">.</w:t>
      </w:r>
    </w:p>
    <w:bookmarkEnd w:id="109"/>
    <w:bookmarkStart w:id="111"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 Theory 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0">
        <w:r>
          <w:rPr>
            <w:rStyle w:val="Hyperlink"/>
          </w:rPr>
          <w:t xml:space="preserve">https://doi.org/10.1111/geb.12669</w:t>
        </w:r>
      </w:hyperlink>
      <w:r>
        <w:t xml:space="preserve">.</w:t>
      </w:r>
    </w:p>
    <w:bookmarkEnd w:id="111"/>
    <w:bookmarkStart w:id="113" w:name="ref-keller_european_2020"/>
    <w:p>
      <w:pPr>
        <w:pStyle w:val="Bibliography"/>
      </w:pPr>
      <w:r>
        <w:t xml:space="preserve">Keller, V., S. Herrando, P. Voříšek, M. Franch, M. Kipson, P. Milanesi, D. Martí, et al. 2020.</w:t>
      </w:r>
      <w:r>
        <w:t xml:space="preserve"> </w:t>
      </w:r>
      <w:r>
        <w:rPr>
          <w:iCs/>
          <w:i/>
        </w:rPr>
        <w:t xml:space="preserve">European Breeding Bird Atlas 2: Distribution, Abundance and Change</w:t>
      </w:r>
      <w:r>
        <w:t xml:space="preserve">. Lynx Edicions.</w:t>
      </w:r>
      <w:r>
        <w:t xml:space="preserve"> </w:t>
      </w:r>
      <w:hyperlink r:id="rId112">
        <w:r>
          <w:rPr>
            <w:rStyle w:val="Hyperlink"/>
          </w:rPr>
          <w:t xml:space="preserve">https://www.ebba2.info/results/</w:t>
        </w:r>
      </w:hyperlink>
      <w:r>
        <w:t xml:space="preserve">.</w:t>
      </w:r>
    </w:p>
    <w:bookmarkEnd w:id="113"/>
    <w:bookmarkStart w:id="115"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4">
        <w:r>
          <w:rPr>
            <w:rStyle w:val="Hyperlink"/>
          </w:rPr>
          <w:t xml:space="preserve">https://doi.org/10.1046/j.1365-2656.2003.00710.x</w:t>
        </w:r>
      </w:hyperlink>
      <w:r>
        <w:t xml:space="preserve">.</w:t>
      </w:r>
    </w:p>
    <w:bookmarkEnd w:id="115"/>
    <w:bookmarkStart w:id="117"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6">
        <w:r>
          <w:rPr>
            <w:rStyle w:val="Hyperlink"/>
          </w:rPr>
          <w:t xml:space="preserve">https://doi.org/10.1111/j.1365-2699.2006.01480.x</w:t>
        </w:r>
      </w:hyperlink>
      <w:r>
        <w:t xml:space="preserve">.</w:t>
      </w:r>
    </w:p>
    <w:bookmarkEnd w:id="117"/>
    <w:bookmarkStart w:id="119"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18">
        <w:r>
          <w:rPr>
            <w:rStyle w:val="Hyperlink"/>
          </w:rPr>
          <w:t xml:space="preserve">https://doi.org/10.1098/rspb.2009.0162</w:t>
        </w:r>
      </w:hyperlink>
      <w:r>
        <w:t xml:space="preserve">.</w:t>
      </w:r>
    </w:p>
    <w:bookmarkEnd w:id="119"/>
    <w:bookmarkStart w:id="121" w:name="ref-landres_ecological_1988"/>
    <w:p>
      <w:pPr>
        <w:pStyle w:val="Bibliography"/>
      </w:pPr>
      <w:r>
        <w:t xml:space="preserve">Landres, Peter B., Jared Verner, and Jack Ward Thomas. 1988.</w:t>
      </w:r>
      <w:r>
        <w:t xml:space="preserve"> </w:t>
      </w:r>
      <w:r>
        <w:t xml:space="preserve">“Ecological Uses of Vertebrate Indicator Species: A Critique.”</w:t>
      </w:r>
      <w:r>
        <w:t xml:space="preserve"> </w:t>
      </w:r>
      <w:r>
        <w:rPr>
          <w:iCs/>
          <w:i/>
        </w:rPr>
        <w:t xml:space="preserve">Conservation Biology</w:t>
      </w:r>
      <w:r>
        <w:t xml:space="preserve"> </w:t>
      </w:r>
      <w:r>
        <w:t xml:space="preserve">2 (4): 316–28.</w:t>
      </w:r>
      <w:r>
        <w:t xml:space="preserve"> </w:t>
      </w:r>
      <w:hyperlink r:id="rId120">
        <w:r>
          <w:rPr>
            <w:rStyle w:val="Hyperlink"/>
          </w:rPr>
          <w:t xml:space="preserve">https://doi.org/10.1111/j.1523-1739.1988.tb00195.x</w:t>
        </w:r>
      </w:hyperlink>
      <w:r>
        <w:t xml:space="preserve">.</w:t>
      </w:r>
    </w:p>
    <w:bookmarkEnd w:id="121"/>
    <w:bookmarkStart w:id="123" w:name="ref-levin_problem_1992"/>
    <w:p>
      <w:pPr>
        <w:pStyle w:val="Bibliography"/>
      </w:pPr>
      <w:r>
        <w:t xml:space="preserve">Levin, Simon A. 1992.</w:t>
      </w:r>
      <w:r>
        <w:t xml:space="preserve"> </w:t>
      </w:r>
      <w:r>
        <w:t xml:space="preserve">“The Problem of Pattern and Scale in Ecology: The Robert h.</w:t>
      </w:r>
      <w:r>
        <w:t xml:space="preserve"> </w:t>
      </w:r>
      <w:r>
        <w:t xml:space="preserve">MacArthur</w:t>
      </w:r>
      <w:r>
        <w:t xml:space="preserve"> </w:t>
      </w:r>
      <w:r>
        <w:t xml:space="preserve">Award Lecture.”</w:t>
      </w:r>
      <w:r>
        <w:t xml:space="preserve"> </w:t>
      </w:r>
      <w:r>
        <w:rPr>
          <w:iCs/>
          <w:i/>
        </w:rPr>
        <w:t xml:space="preserve">Ecology</w:t>
      </w:r>
      <w:r>
        <w:t xml:space="preserve"> </w:t>
      </w:r>
      <w:r>
        <w:t xml:space="preserve">73 (6): 1943–67. https://doi.org/</w:t>
      </w:r>
      <w:hyperlink r:id="rId122">
        <w:r>
          <w:rPr>
            <w:rStyle w:val="Hyperlink"/>
          </w:rPr>
          <w:t xml:space="preserve">https://doi.org/10.2307/1941447</w:t>
        </w:r>
      </w:hyperlink>
      <w:r>
        <w:t xml:space="preserve">.</w:t>
      </w:r>
    </w:p>
    <w:bookmarkEnd w:id="123"/>
    <w:bookmarkStart w:id="125" w:name="ref-loh_living_2005"/>
    <w:p>
      <w:pPr>
        <w:pStyle w:val="Bibliography"/>
      </w:pPr>
      <w:r>
        <w:t xml:space="preserve">Loh, Jonathan, Rhys E Green, Taylor Ricketts, John Lamoreux, Martin Jenkins, Valerie Kapos, and Jorgen Randers. 2005.</w:t>
      </w:r>
      <w:r>
        <w:t xml:space="preserve"> </w:t>
      </w:r>
      <w:r>
        <w:t xml:space="preserve">“The Living Planet Index: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4">
        <w:r>
          <w:rPr>
            <w:rStyle w:val="Hyperlink"/>
          </w:rPr>
          <w:t xml:space="preserve">https://doi.org/10.1098/rstb.2004.1584</w:t>
        </w:r>
      </w:hyperlink>
      <w:r>
        <w:t xml:space="preserve">.</w:t>
      </w:r>
    </w:p>
    <w:bookmarkEnd w:id="125"/>
    <w:bookmarkStart w:id="127"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6">
        <w:r>
          <w:rPr>
            <w:rStyle w:val="Hyperlink"/>
          </w:rPr>
          <w:t xml:space="preserve">https://doi.org/10.1016/j.apgeog.2011.05.005</w:t>
        </w:r>
      </w:hyperlink>
      <w:r>
        <w:t xml:space="preserve">.</w:t>
      </w:r>
    </w:p>
    <w:bookmarkEnd w:id="127"/>
    <w:bookmarkStart w:id="129" w:name="ref-mcgill_fifteen_2015"/>
    <w:p>
      <w:pPr>
        <w:pStyle w:val="Bibliography"/>
      </w:pPr>
      <w:r>
        <w:t xml:space="preserve">McGill, Brian J., Maria Dornelas, Nicholas J. Gotelli, and Anne E. Magurran. 2015.</w:t>
      </w:r>
      <w:r>
        <w:t xml:space="preserve"> </w:t>
      </w:r>
      <w:r>
        <w:t xml:space="preserve">“Fifteen Forms of Biodiversity Trend in the Anthropocene.”</w:t>
      </w:r>
      <w:r>
        <w:t xml:space="preserve"> </w:t>
      </w:r>
      <w:r>
        <w:rPr>
          <w:iCs/>
          <w:i/>
        </w:rPr>
        <w:t xml:space="preserve">Trends in Ecology &amp; Evolution</w:t>
      </w:r>
      <w:r>
        <w:t xml:space="preserve"> </w:t>
      </w:r>
      <w:r>
        <w:t xml:space="preserve">30 (2): 104–13.</w:t>
      </w:r>
      <w:r>
        <w:t xml:space="preserve"> </w:t>
      </w:r>
      <w:hyperlink r:id="rId128">
        <w:r>
          <w:rPr>
            <w:rStyle w:val="Hyperlink"/>
          </w:rPr>
          <w:t xml:space="preserve">https://doi.org/10.1016/j.tree.2014.11.006</w:t>
        </w:r>
      </w:hyperlink>
      <w:r>
        <w:t xml:space="preserve">.</w:t>
      </w:r>
    </w:p>
    <w:bookmarkEnd w:id="129"/>
    <w:bookmarkStart w:id="131"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0">
        <w:r>
          <w:rPr>
            <w:rStyle w:val="Hyperlink"/>
          </w:rPr>
          <w:t xml:space="preserve">https://doi.org/10.1016/j.tree.2006.02.002</w:t>
        </w:r>
      </w:hyperlink>
      <w:r>
        <w:t xml:space="preserve">.</w:t>
      </w:r>
    </w:p>
    <w:bookmarkEnd w:id="131"/>
    <w:bookmarkStart w:id="133"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2">
        <w:r>
          <w:rPr>
            <w:rStyle w:val="Hyperlink"/>
          </w:rPr>
          <w:t xml:space="preserve">https://doi.org/10.1038/ncomms9221</w:t>
        </w:r>
      </w:hyperlink>
      <w:r>
        <w:t xml:space="preserve">.</w:t>
      </w:r>
    </w:p>
    <w:bookmarkEnd w:id="133"/>
    <w:bookmarkStart w:id="135"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4">
        <w:r>
          <w:rPr>
            <w:rStyle w:val="Hyperlink"/>
          </w:rPr>
          <w:t xml:space="preserve">https://doi.org/10.1111/geb.12179</w:t>
        </w:r>
      </w:hyperlink>
      <w:r>
        <w:t xml:space="preserve">.</w:t>
      </w:r>
    </w:p>
    <w:bookmarkEnd w:id="135"/>
    <w:bookmarkStart w:id="137"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6">
        <w:r>
          <w:rPr>
            <w:rStyle w:val="Hyperlink"/>
          </w:rPr>
          <w:t xml:space="preserve">https://doi.org/10.1111/j.1469-185X.2012.00224.x</w:t>
        </w:r>
      </w:hyperlink>
      <w:r>
        <w:t xml:space="preserve">.</w:t>
      </w:r>
    </w:p>
    <w:bookmarkEnd w:id="137"/>
    <w:bookmarkStart w:id="139"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Biodiversity—Exemplified in the Nordic Countries.”</w:t>
      </w:r>
      <w:r>
        <w:t xml:space="preserve"> </w:t>
      </w:r>
      <w:r>
        <w:rPr>
          <w:iCs/>
          <w:i/>
        </w:rPr>
        <w:t xml:space="preserve">Ecological Indicators</w:t>
      </w:r>
      <w:r>
        <w:t xml:space="preserve"> </w:t>
      </w:r>
      <w:r>
        <w:t xml:space="preserve">13 (1): 104–16.</w:t>
      </w:r>
      <w:r>
        <w:t xml:space="preserve"> </w:t>
      </w:r>
      <w:hyperlink r:id="rId138">
        <w:r>
          <w:rPr>
            <w:rStyle w:val="Hyperlink"/>
          </w:rPr>
          <w:t xml:space="preserve">https://doi.org/10.1016/j.ecolind.2011.05.017</w:t>
        </w:r>
      </w:hyperlink>
      <w:r>
        <w:t xml:space="preserve">.</w:t>
      </w:r>
    </w:p>
    <w:bookmarkEnd w:id="139"/>
    <w:bookmarkStart w:id="141" w:name="ref-pereira_global_2012"/>
    <w:p>
      <w:pPr>
        <w:pStyle w:val="Bibliography"/>
      </w:pPr>
      <w:r>
        <w:t xml:space="preserve">Pereira, Henrique Miguel, Laetitia Marie Navarro, and Inês Santos Martins. 2012.</w:t>
      </w:r>
      <w:r>
        <w:t xml:space="preserve"> </w:t>
      </w:r>
      <w:r>
        <w:t xml:space="preserve">“Global Biodiversity Change: The Bad, the Good, and the Unknown.”</w:t>
      </w:r>
      <w:r>
        <w:t xml:space="preserve"> </w:t>
      </w:r>
      <w:r>
        <w:rPr>
          <w:iCs/>
          <w:i/>
        </w:rPr>
        <w:t xml:space="preserve">Annual Review of Environment and Resources</w:t>
      </w:r>
      <w:r>
        <w:t xml:space="preserve"> </w:t>
      </w:r>
      <w:r>
        <w:t xml:space="preserve">37 (1): 25–50.</w:t>
      </w:r>
      <w:r>
        <w:t xml:space="preserve"> </w:t>
      </w:r>
      <w:hyperlink r:id="rId140">
        <w:r>
          <w:rPr>
            <w:rStyle w:val="Hyperlink"/>
          </w:rPr>
          <w:t xml:space="preserve">https://doi.org/10.1146/annurev-environ-042911-093511</w:t>
        </w:r>
      </w:hyperlink>
      <w:r>
        <w:t xml:space="preserve">.</w:t>
      </w:r>
    </w:p>
    <w:bookmarkEnd w:id="141"/>
    <w:bookmarkStart w:id="143"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 Europe.”</w:t>
      </w:r>
      <w:r>
        <w:t xml:space="preserve"> </w:t>
      </w:r>
      <w:r>
        <w:rPr>
          <w:iCs/>
          <w:i/>
        </w:rPr>
        <w:t xml:space="preserve">Nature Communications</w:t>
      </w:r>
      <w:r>
        <w:t xml:space="preserve"> </w:t>
      </w:r>
      <w:r>
        <w:t xml:space="preserve">11 (1): 3486.</w:t>
      </w:r>
      <w:r>
        <w:t xml:space="preserve"> </w:t>
      </w:r>
      <w:hyperlink r:id="rId142">
        <w:r>
          <w:rPr>
            <w:rStyle w:val="Hyperlink"/>
          </w:rPr>
          <w:t xml:space="preserve">https://doi.org/10.1038/s41467-020-17171-y</w:t>
        </w:r>
      </w:hyperlink>
      <w:r>
        <w:t xml:space="preserve">.</w:t>
      </w:r>
    </w:p>
    <w:bookmarkEnd w:id="143"/>
    <w:bookmarkStart w:id="145"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 A Large-Scale Analysis from Northern Europe.”</w:t>
      </w:r>
      <w:r>
        <w:t xml:space="preserve"> </w:t>
      </w:r>
      <w:r>
        <w:rPr>
          <w:iCs/>
          <w:i/>
        </w:rPr>
        <w:t xml:space="preserve">Forest Ecology and Management</w:t>
      </w:r>
      <w:r>
        <w:t xml:space="preserve"> </w:t>
      </w:r>
      <w:r>
        <w:t xml:space="preserve">385 (February): 177–88.</w:t>
      </w:r>
      <w:r>
        <w:t xml:space="preserve"> </w:t>
      </w:r>
      <w:hyperlink r:id="rId144">
        <w:r>
          <w:rPr>
            <w:rStyle w:val="Hyperlink"/>
          </w:rPr>
          <w:t xml:space="preserve">https://doi.org/10.1016/j.foreco.2016.11.013</w:t>
        </w:r>
      </w:hyperlink>
      <w:r>
        <w:t xml:space="preserve">.</w:t>
      </w:r>
    </w:p>
    <w:bookmarkEnd w:id="145"/>
    <w:bookmarkStart w:id="147"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 Czech Republic 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6">
        <w:r>
          <w:rPr>
            <w:rStyle w:val="Hyperlink"/>
          </w:rPr>
          <w:t xml:space="preserve">https://doi.org/10.1007/s10336-012-0900-9</w:t>
        </w:r>
      </w:hyperlink>
      <w:r>
        <w:t xml:space="preserve">.</w:t>
      </w:r>
    </w:p>
    <w:bookmarkEnd w:id="147"/>
    <w:bookmarkStart w:id="149" w:name="ref-sauer_north_2013"/>
    <w:p>
      <w:pPr>
        <w:pStyle w:val="Bibliography"/>
      </w:pPr>
      <w:r>
        <w:t xml:space="preserve">Sauer, John R., William A. Link, Jane E. Fallon, Keith L. Pardieck, and David J. Ziolkowski Jr. 2013.</w:t>
      </w:r>
      <w:r>
        <w:t xml:space="preserve"> </w:t>
      </w:r>
      <w:r>
        <w:t xml:space="preserve">“The North American Breeding Bird Survey 1966–2011: Summary Analysis and Species Accounts.”</w:t>
      </w:r>
      <w:r>
        <w:t xml:space="preserve"> </w:t>
      </w:r>
      <w:r>
        <w:rPr>
          <w:iCs/>
          <w:i/>
        </w:rPr>
        <w:t xml:space="preserve">North American Fauna</w:t>
      </w:r>
      <w:r>
        <w:t xml:space="preserve">, no. 79 (August): 1–32.</w:t>
      </w:r>
      <w:r>
        <w:t xml:space="preserve"> </w:t>
      </w:r>
      <w:hyperlink r:id="rId148">
        <w:r>
          <w:rPr>
            <w:rStyle w:val="Hyperlink"/>
          </w:rPr>
          <w:t xml:space="preserve">https://doi.org/10.3996/nafa.79.0001</w:t>
        </w:r>
      </w:hyperlink>
      <w:r>
        <w:t xml:space="preserve">.</w:t>
      </w:r>
    </w:p>
    <w:bookmarkEnd w:id="149"/>
    <w:bookmarkStart w:id="151"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 North American Breeding Bird Survey.”</w:t>
      </w:r>
      <w:r>
        <w:t xml:space="preserve"> </w:t>
      </w:r>
      <w:r>
        <w:rPr>
          <w:iCs/>
          <w:i/>
        </w:rPr>
        <w:t xml:space="preserve">The Condor</w:t>
      </w:r>
      <w:r>
        <w:t xml:space="preserve"> </w:t>
      </w:r>
      <w:r>
        <w:t xml:space="preserve">119 (3): 576–93.</w:t>
      </w:r>
      <w:r>
        <w:t xml:space="preserve"> </w:t>
      </w:r>
      <w:hyperlink r:id="rId150">
        <w:r>
          <w:rPr>
            <w:rStyle w:val="Hyperlink"/>
          </w:rPr>
          <w:t xml:space="preserve">https://doi.org/10.1650/CONDOR-17-83.1</w:t>
        </w:r>
      </w:hyperlink>
      <w:r>
        <w:t xml:space="preserve">.</w:t>
      </w:r>
    </w:p>
    <w:bookmarkEnd w:id="151"/>
    <w:bookmarkStart w:id="153"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 North American Bird Assemblages from 1971 to 2010.”</w:t>
      </w:r>
      <w:r>
        <w:t xml:space="preserve"> </w:t>
      </w:r>
      <w:r>
        <w:rPr>
          <w:iCs/>
          <w:i/>
        </w:rPr>
        <w:t xml:space="preserve">Global Change Biology</w:t>
      </w:r>
      <w:r>
        <w:t xml:space="preserve"> </w:t>
      </w:r>
      <w:r>
        <w:t xml:space="preserve">22 (12): 3948–59.</w:t>
      </w:r>
      <w:r>
        <w:t xml:space="preserve"> </w:t>
      </w:r>
      <w:hyperlink r:id="rId152">
        <w:r>
          <w:rPr>
            <w:rStyle w:val="Hyperlink"/>
          </w:rPr>
          <w:t xml:space="preserve">https://doi.org/10.1111/gcb.13292</w:t>
        </w:r>
      </w:hyperlink>
      <w:r>
        <w:t xml:space="preserve">.</w:t>
      </w:r>
    </w:p>
    <w:bookmarkEnd w:id="153"/>
    <w:bookmarkStart w:id="155"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4">
        <w:r>
          <w:rPr>
            <w:rStyle w:val="Hyperlink"/>
          </w:rPr>
          <w:t xml:space="preserve">https://doi.org/10.1002/j.1538-7305.1948.tb01338.x</w:t>
        </w:r>
      </w:hyperlink>
      <w:r>
        <w:t xml:space="preserve">.</w:t>
      </w:r>
    </w:p>
    <w:bookmarkEnd w:id="155"/>
    <w:bookmarkStart w:id="157" w:name="ref-simpson_measurement_1949"/>
    <w:p>
      <w:pPr>
        <w:pStyle w:val="Bibliography"/>
      </w:pPr>
      <w:r>
        <w:t xml:space="preserve">Simpson, E. H. 1949.</w:t>
      </w:r>
      <w:r>
        <w:t xml:space="preserve"> </w:t>
      </w:r>
      <w:r>
        <w:t xml:space="preserve">“Measurement of Diversity.”</w:t>
      </w:r>
      <w:r>
        <w:t xml:space="preserve"> </w:t>
      </w:r>
      <w:r>
        <w:rPr>
          <w:iCs/>
          <w:i/>
        </w:rPr>
        <w:t xml:space="preserve">Nature</w:t>
      </w:r>
      <w:r>
        <w:t xml:space="preserve"> </w:t>
      </w:r>
      <w:r>
        <w:t xml:space="preserve">163 (4148): 688–88.</w:t>
      </w:r>
      <w:r>
        <w:t xml:space="preserve"> </w:t>
      </w:r>
      <w:hyperlink r:id="rId156">
        <w:r>
          <w:rPr>
            <w:rStyle w:val="Hyperlink"/>
          </w:rPr>
          <w:t xml:space="preserve">https://doi.org/10.1038/163688a0</w:t>
        </w:r>
      </w:hyperlink>
      <w:r>
        <w:t xml:space="preserve">.</w:t>
      </w:r>
    </w:p>
    <w:bookmarkEnd w:id="157"/>
    <w:bookmarkStart w:id="159" w:name="ref-sorte_changes_2005"/>
    <w:p>
      <w:pPr>
        <w:pStyle w:val="Bibliography"/>
      </w:pPr>
      <w:r>
        <w:t xml:space="preserve">Sorte, Frank A. La, and William J. Boecklen. 2005.</w:t>
      </w:r>
      <w:r>
        <w:t xml:space="preserve"> </w:t>
      </w:r>
      <w:r>
        <w:t xml:space="preserve">“Changes in the Diversity Structure of Avian Assemblages in North America.”</w:t>
      </w:r>
      <w:r>
        <w:t xml:space="preserve"> </w:t>
      </w:r>
      <w:r>
        <w:rPr>
          <w:iCs/>
          <w:i/>
        </w:rPr>
        <w:t xml:space="preserve">Global Ecology and Biogeography</w:t>
      </w:r>
      <w:r>
        <w:t xml:space="preserve"> </w:t>
      </w:r>
      <w:r>
        <w:t xml:space="preserve">14 (4): 367–78.</w:t>
      </w:r>
      <w:r>
        <w:t xml:space="preserve"> </w:t>
      </w:r>
      <w:hyperlink r:id="rId158">
        <w:r>
          <w:rPr>
            <w:rStyle w:val="Hyperlink"/>
          </w:rPr>
          <w:t xml:space="preserve">https://doi.org/10.1111/j.1466-822X.2005.00160.x</w:t>
        </w:r>
      </w:hyperlink>
      <w:r>
        <w:t xml:space="preserve">.</w:t>
      </w:r>
    </w:p>
    <w:bookmarkEnd w:id="159"/>
    <w:bookmarkStart w:id="160" w:name="ref-spasov_population_2017"/>
    <w:p>
      <w:pPr>
        <w:pStyle w:val="Bibliography"/>
      </w:pPr>
      <w:r>
        <w:t xml:space="preserve">Spasov, Svetoslav, Iordan Hristov, Mark Eaton, and Stoyan C Nikolov. 2017.</w:t>
      </w:r>
      <w:r>
        <w:t xml:space="preserve"> </w:t>
      </w:r>
      <w:r>
        <w:t xml:space="preserve">“Population Trends of Common Birds in Bulgaria: Is Their Status Improving After the</w:t>
      </w:r>
      <w:r>
        <w:t xml:space="preserve"> </w:t>
      </w:r>
      <w:r>
        <w:t xml:space="preserve">EU</w:t>
      </w:r>
      <w:r>
        <w:t xml:space="preserve"> </w:t>
      </w:r>
      <w:r>
        <w:t xml:space="preserve">Accession?”</w:t>
      </w:r>
      <w:r>
        <w:t xml:space="preserve"> </w:t>
      </w:r>
      <w:r>
        <w:rPr>
          <w:iCs/>
          <w:i/>
        </w:rPr>
        <w:t xml:space="preserve">Acta Zoologica Bulgarica</w:t>
      </w:r>
      <w:r>
        <w:t xml:space="preserve"> </w:t>
      </w:r>
      <w:r>
        <w:t xml:space="preserve">69 (1): 10.</w:t>
      </w:r>
    </w:p>
    <w:bookmarkEnd w:id="160"/>
    <w:bookmarkStart w:id="162"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1">
        <w:r>
          <w:rPr>
            <w:rStyle w:val="Hyperlink"/>
          </w:rPr>
          <w:t xml:space="preserve">https://doi.org/10.1016/j.baae.2004.08.001</w:t>
        </w:r>
      </w:hyperlink>
      <w:r>
        <w:t xml:space="preserve">.</w:t>
      </w:r>
    </w:p>
    <w:bookmarkEnd w:id="162"/>
    <w:bookmarkStart w:id="164" w:name="ref-storch_scaling_2007"/>
    <w:p>
      <w:pPr>
        <w:pStyle w:val="Bibliography"/>
      </w:pPr>
      <w:r>
        <w:t xml:space="preserve">Storch, David, Pablo Marquet, and James Brown, eds. 2007.</w:t>
      </w:r>
      <w:r>
        <w:t xml:space="preserve"> </w:t>
      </w:r>
      <w:r>
        <w:rPr>
          <w:iCs/>
          <w:i/>
        </w:rPr>
        <w:t xml:space="preserve">Scaling Biodiversity</w:t>
      </w:r>
      <w:r>
        <w:t xml:space="preserve">. Ecological Reviews. Cambridge: Cambridge University Press.</w:t>
      </w:r>
      <w:r>
        <w:t xml:space="preserve"> </w:t>
      </w:r>
      <w:hyperlink r:id="rId163">
        <w:r>
          <w:rPr>
            <w:rStyle w:val="Hyperlink"/>
          </w:rPr>
          <w:t xml:space="preserve">https://doi.org/10.1017/CBO9780511814938</w:t>
        </w:r>
      </w:hyperlink>
      <w:r>
        <w:t xml:space="preserve">.</w:t>
      </w:r>
    </w:p>
    <w:bookmarkEnd w:id="164"/>
    <w:bookmarkStart w:id="166"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 A 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5">
        <w:r>
          <w:rPr>
            <w:rStyle w:val="Hyperlink"/>
          </w:rPr>
          <w:t xml:space="preserve">https://doi.org/10.1016/j.biocon.2009.05.006</w:t>
        </w:r>
      </w:hyperlink>
      <w:r>
        <w:t xml:space="preserve">.</w:t>
      </w:r>
    </w:p>
    <w:bookmarkEnd w:id="166"/>
    <w:bookmarkStart w:id="168"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67">
        <w:r>
          <w:rPr>
            <w:rStyle w:val="Hyperlink"/>
          </w:rPr>
          <w:t xml:space="preserve">https://doi.org/10.1890/12-0928.1</w:t>
        </w:r>
      </w:hyperlink>
      <w:r>
        <w:t xml:space="preserve">.</w:t>
      </w:r>
    </w:p>
    <w:bookmarkEnd w:id="168"/>
    <w:bookmarkStart w:id="170"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69">
        <w:r>
          <w:rPr>
            <w:rStyle w:val="Hyperlink"/>
          </w:rPr>
          <w:t xml:space="preserve">https://doi.org/10.1038/d41586-021-02088-3</w:t>
        </w:r>
      </w:hyperlink>
      <w:r>
        <w:t xml:space="preserve">.</w:t>
      </w:r>
    </w:p>
    <w:bookmarkEnd w:id="170"/>
    <w:bookmarkStart w:id="172" w:name="ref-van_turnhout_scale-dependent_2007"/>
    <w:p>
      <w:pPr>
        <w:pStyle w:val="Bibliography"/>
      </w:pPr>
      <w:r>
        <w:t xml:space="preserve">Van Turnhout, Chris A. M., Ruud P. B. Foppen, Rob S. E. W. Leuven, Henk Siepel, and Hans Esselink. 2007.</w:t>
      </w:r>
      <w:r>
        <w:t xml:space="preserve"> </w:t>
      </w:r>
      <w:r>
        <w:t xml:space="preserve">“Scale-Dependent Homogenization: Changes in Breeding Bird Diversity in the Netherlands over a 25-Year Period.”</w:t>
      </w:r>
      <w:r>
        <w:t xml:space="preserve"> </w:t>
      </w:r>
      <w:r>
        <w:rPr>
          <w:iCs/>
          <w:i/>
        </w:rPr>
        <w:t xml:space="preserve">Biological Conservation</w:t>
      </w:r>
      <w:r>
        <w:t xml:space="preserve"> </w:t>
      </w:r>
      <w:r>
        <w:t xml:space="preserve">134 (4): 505–16.</w:t>
      </w:r>
      <w:r>
        <w:t xml:space="preserve"> </w:t>
      </w:r>
      <w:hyperlink r:id="rId171">
        <w:r>
          <w:rPr>
            <w:rStyle w:val="Hyperlink"/>
          </w:rPr>
          <w:t xml:space="preserve">https://doi.org/10.1016/j.biocon.2006.09.011</w:t>
        </w:r>
      </w:hyperlink>
      <w:r>
        <w:t xml:space="preserve">.</w:t>
      </w:r>
    </w:p>
    <w:bookmarkEnd w:id="172"/>
    <w:bookmarkStart w:id="174"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3">
        <w:r>
          <w:rPr>
            <w:rStyle w:val="Hyperlink"/>
          </w:rPr>
          <w:t xml:space="preserve">https://doi.org/10.1111/j.1365-2745.2010.01664.x</w:t>
        </w:r>
      </w:hyperlink>
      <w:r>
        <w:t xml:space="preserve">.</w:t>
      </w:r>
    </w:p>
    <w:bookmarkEnd w:id="174"/>
    <w:bookmarkStart w:id="176" w:name="ref-webb_phylogenies_2002"/>
    <w:p>
      <w:pPr>
        <w:pStyle w:val="Bibliography"/>
      </w:pPr>
      <w:r>
        <w:t xml:space="preserve">Webb, Campbell O., David D. Ackerly, Mark A. McPeek, and Michael J. Donoghue. 2002.</w:t>
      </w:r>
      <w:r>
        <w:t xml:space="preserve"> </w:t>
      </w:r>
      <w:r>
        <w:t xml:space="preserve">“Phylogenies and Community Ecology.”</w:t>
      </w:r>
      <w:r>
        <w:t xml:space="preserve"> </w:t>
      </w:r>
      <w:r>
        <w:rPr>
          <w:iCs/>
          <w:i/>
        </w:rPr>
        <w:t xml:space="preserve">Annual Review of Ecology and Systematics</w:t>
      </w:r>
      <w:r>
        <w:t xml:space="preserve"> </w:t>
      </w:r>
      <w:r>
        <w:t xml:space="preserve">33 (1): 475–505.</w:t>
      </w:r>
      <w:r>
        <w:t xml:space="preserve"> </w:t>
      </w:r>
      <w:hyperlink r:id="rId175">
        <w:r>
          <w:rPr>
            <w:rStyle w:val="Hyperlink"/>
          </w:rPr>
          <w:t xml:space="preserve">https://doi.org/10.1146/annurev.ecolsys.33.010802.150448</w:t>
        </w:r>
      </w:hyperlink>
      <w:r>
        <w:t xml:space="preserve">.</w:t>
      </w:r>
    </w:p>
    <w:bookmarkEnd w:id="176"/>
    <w:bookmarkStart w:id="178" w:name="ref-white_two-phase_2004"/>
    <w:p>
      <w:pPr>
        <w:pStyle w:val="Bibliography"/>
      </w:pPr>
      <w:r>
        <w:t xml:space="preserve">White, Ethan P. 2004.</w:t>
      </w:r>
      <w:r>
        <w:t xml:space="preserve"> </w:t>
      </w:r>
      <w:r>
        <w:t xml:space="preserve">“Two-Phase Species–Time Relationships in North American Land Birds.”</w:t>
      </w:r>
      <w:r>
        <w:t xml:space="preserve"> </w:t>
      </w:r>
      <w:r>
        <w:rPr>
          <w:iCs/>
          <w:i/>
        </w:rPr>
        <w:t xml:space="preserve">Ecology Letters</w:t>
      </w:r>
      <w:r>
        <w:t xml:space="preserve"> </w:t>
      </w:r>
      <w:r>
        <w:t xml:space="preserve">7 (4): 329–36. https://doi.org/</w:t>
      </w:r>
      <w:hyperlink r:id="rId177">
        <w:r>
          <w:rPr>
            <w:rStyle w:val="Hyperlink"/>
          </w:rPr>
          <w:t xml:space="preserve">https://doi.org/10.1111/j.1461-0248.2004.00581.x</w:t>
        </w:r>
      </w:hyperlink>
      <w:r>
        <w:t xml:space="preserve">.</w:t>
      </w:r>
    </w:p>
    <w:bookmarkEnd w:id="178"/>
    <w:bookmarkStart w:id="180" w:name="ref-whittaker_vegetation_1960"/>
    <w:p>
      <w:pPr>
        <w:pStyle w:val="Bibliography"/>
      </w:pPr>
      <w:r>
        <w:t xml:space="preserve">Whittaker, R. H. 1960.</w:t>
      </w:r>
      <w:r>
        <w:t xml:space="preserve"> </w:t>
      </w:r>
      <w:r>
        <w:t xml:space="preserve">“Vegetation of the Siskiyou Mountains, Oregon and California.”</w:t>
      </w:r>
      <w:r>
        <w:t xml:space="preserve"> </w:t>
      </w:r>
      <w:r>
        <w:rPr>
          <w:iCs/>
          <w:i/>
        </w:rPr>
        <w:t xml:space="preserve">Ecological Monographs</w:t>
      </w:r>
      <w:r>
        <w:t xml:space="preserve"> </w:t>
      </w:r>
      <w:r>
        <w:t xml:space="preserve">30 (3): 279–338.</w:t>
      </w:r>
      <w:r>
        <w:t xml:space="preserve"> </w:t>
      </w:r>
      <w:hyperlink r:id="rId179">
        <w:r>
          <w:rPr>
            <w:rStyle w:val="Hyperlink"/>
          </w:rPr>
          <w:t xml:space="preserve">https://doi.org/10.2307/1943563</w:t>
        </w:r>
      </w:hyperlink>
      <w:r>
        <w:t xml:space="preserve">.</w:t>
      </w:r>
    </w:p>
    <w:bookmarkEnd w:id="180"/>
    <w:bookmarkStart w:id="182" w:name="ref-whittaker_evolution_1972"/>
    <w:p>
      <w:pPr>
        <w:pStyle w:val="Bibliography"/>
      </w:pPr>
      <w:r>
        <w:t xml:space="preserve">———. 1972.</w:t>
      </w:r>
      <w:r>
        <w:t xml:space="preserve"> </w:t>
      </w:r>
      <w:r>
        <w:t xml:space="preserve">“Evolution and Measurement of Species Diversity.”</w:t>
      </w:r>
      <w:r>
        <w:t xml:space="preserve"> </w:t>
      </w:r>
      <w:r>
        <w:rPr>
          <w:iCs/>
          <w:i/>
        </w:rPr>
        <w:t xml:space="preserve">TAXON</w:t>
      </w:r>
      <w:r>
        <w:t xml:space="preserve"> </w:t>
      </w:r>
      <w:r>
        <w:t xml:space="preserve">21 (2): 213–51.</w:t>
      </w:r>
      <w:r>
        <w:t xml:space="preserve"> </w:t>
      </w:r>
      <w:hyperlink r:id="rId181">
        <w:r>
          <w:rPr>
            <w:rStyle w:val="Hyperlink"/>
          </w:rPr>
          <w:t xml:space="preserve">https://doi.org/10.2307/1218190</w:t>
        </w:r>
      </w:hyperlink>
      <w:r>
        <w:t xml:space="preserve">.</w:t>
      </w:r>
    </w:p>
    <w:bookmarkEnd w:id="182"/>
    <w:bookmarkStart w:id="184"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3">
        <w:r>
          <w:rPr>
            <w:rStyle w:val="Hyperlink"/>
          </w:rPr>
          <w:t xml:space="preserve">https://doi.org/10.1016/j.biocon.2009.11.001</w:t>
        </w:r>
      </w:hyperlink>
      <w:r>
        <w:t xml:space="preserve">.</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4"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2022-01-03T10:42:55Z</dcterms:created>
  <dcterms:modified xsi:type="dcterms:W3CDTF">2022-01-03T10:42:55Z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2022-01-03</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(2014)García-Navas et al. (2020) Blowes et al. (2019)</vt:lpwstr>
  </property>
  <property fmtid="{D5CDD505-2E9C-101B-9397-08002B2CF9AE}" pid="11" name="ftExtra-cite-note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(2014)García-Navas et al. (2020) Blowes et al. (2019)</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