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nnotation"/>
    <w:p>
      <w:pPr>
        <w:pStyle w:val="Heading1"/>
      </w:pPr>
      <w:r>
        <w:t xml:space="preserve">Annotation</w:t>
      </w:r>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numPr>
          <w:ilvl w:val="0"/>
          <w:numId w:val="1001"/>
        </w:numPr>
        <w:pStyle w:val="Compact"/>
      </w:pPr>
      <w:r>
        <w:t xml:space="preserve">Modelling and mapping avian species richness changes over Czech Republic across space and time</w:t>
      </w:r>
      <w:r>
        <w:t xml:space="preserve"> </w:t>
      </w:r>
      <w:r>
        <w:t xml:space="preserve">scales.</w:t>
      </w:r>
    </w:p>
    <w:p>
      <w:pPr>
        <w:numPr>
          <w:ilvl w:val="0"/>
          <w:numId w:val="1001"/>
        </w:numPr>
        <w:pStyle w:val="Compact"/>
      </w:pPr>
      <w:r>
        <w:t xml:space="preserve">Decompose the modelled biodiversity to colonization, extinction, species turnover, across spatiotemporal</w:t>
      </w:r>
      <w:r>
        <w:t xml:space="preserve"> </w:t>
      </w:r>
      <w:r>
        <w:t xml:space="preserve">scales.</w:t>
      </w:r>
    </w:p>
    <w:p>
      <w:pPr>
        <w:numPr>
          <w:ilvl w:val="0"/>
          <w:numId w:val="1001"/>
        </w:numPr>
        <w:pStyle w:val="Compact"/>
      </w:pPr>
      <w:r>
        <w:t xml:space="preserve">Estimate the strength of the link between environmental drivers of biodiversity change across</w:t>
      </w:r>
      <w:r>
        <w:t xml:space="preserve"> </w:t>
      </w:r>
      <w:r>
        <w:t xml:space="preserve">spatio-temporal scales.</w:t>
      </w:r>
    </w:p>
    <w:p>
      <w:pPr>
        <w:numPr>
          <w:ilvl w:val="0"/>
          <w:numId w:val="1001"/>
        </w:numPr>
        <w:pStyle w:val="Compact"/>
      </w:pPr>
      <w:r>
        <w:t xml:space="preserve">Apply the previously developed method to other European regions (e.g. UK, Switzerland, France)</w:t>
      </w:r>
    </w:p>
    <w:p>
      <w:pPr>
        <w:pStyle w:val="FirstParagraph"/>
      </w:pPr>
      <w:r>
        <w:rPr>
          <w:b/>
        </w:rPr>
        <w:t xml:space="preserve">PhD candidate:</w:t>
      </w:r>
      <w:r>
        <w:t xml:space="preserve"> </w:t>
      </w:r>
      <w:r>
        <w:t xml:space="preserve">François Leroy</w:t>
      </w:r>
      <w:r>
        <w:t xml:space="preserve"> </w:t>
      </w:r>
      <w:r>
        <w:rPr>
          <w:b/>
        </w:rPr>
        <w:t xml:space="preserve">Programme:</w:t>
      </w:r>
      <w:r>
        <w:t xml:space="preserve"> </w:t>
      </w:r>
      <w:r>
        <w:t xml:space="preserve">Environmental Earth Sciences</w:t>
      </w:r>
      <w:r>
        <w:t xml:space="preserve"> </w:t>
      </w:r>
      <w:r>
        <w:rPr>
          <w:b/>
        </w:rPr>
        <w:t xml:space="preserve">Department:</w:t>
      </w:r>
      <w:r>
        <w:t xml:space="preserve"> </w:t>
      </w:r>
      <w:hyperlink r:id="rId20">
        <w:r>
          <w:rPr>
            <w:rStyle w:val="Hyperlink"/>
          </w:rPr>
          <w:t xml:space="preserve">Applied Geoinformatic and Spatial Planning</w:t>
        </w:r>
      </w:hyperlink>
      <w:r>
        <w:t xml:space="preserve"> </w:t>
      </w:r>
      <w:r>
        <w:rPr>
          <w:b/>
        </w:rPr>
        <w:t xml:space="preserve">Advisor:</w:t>
      </w:r>
      <w:r>
        <w:t xml:space="preserve"> </w:t>
      </w:r>
      <w:hyperlink r:id="rId21">
        <w:r>
          <w:rPr>
            <w:rStyle w:val="Hyperlink"/>
          </w:rPr>
          <w:t xml:space="preserve">doc. Ing. Petra Šímová, Ph.D.</w:t>
        </w:r>
      </w:hyperlink>
      <w:r>
        <w:t xml:space="preserve"> </w:t>
      </w:r>
      <w:r>
        <w:rPr>
          <w:b/>
        </w:rPr>
        <w:t xml:space="preserve">Consultant:</w:t>
      </w:r>
      <w:r>
        <w:t xml:space="preserve"> </w:t>
      </w:r>
      <w:r>
        <w:t xml:space="preserve">Mgr.</w:t>
      </w:r>
      <w:r>
        <w:t xml:space="preserve"> </w:t>
      </w:r>
      <w:hyperlink r:id="rId22">
        <w:r>
          <w:rPr>
            <w:rStyle w:val="Hyperlink"/>
          </w:rPr>
          <w:t xml:space="preserve">Petr Keil</w:t>
        </w:r>
      </w:hyperlink>
      <w:r>
        <w:t xml:space="preserve">, PhD</w:t>
      </w:r>
      <w:r>
        <w:t xml:space="preserve"> </w:t>
      </w:r>
      <w:r>
        <w:rPr>
          <w:b/>
        </w:rPr>
        <w:t xml:space="preserve">Beginning of study:</w:t>
      </w:r>
      <w:r>
        <w:t xml:space="preserve"> </w:t>
      </w:r>
      <w:r>
        <w:t xml:space="preserve">October 2020</w:t>
      </w:r>
      <w:r>
        <w:t xml:space="preserve"> </w:t>
      </w:r>
    </w:p>
    <w:bookmarkEnd w:id="23"/>
    <w:bookmarkStart w:id="24" w:name="intro"/>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 </w:t>
      </w: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bookmarkEnd w:id="24"/>
    <w:bookmarkStart w:id="25" w:name="aims"/>
    <w:p>
      <w:pPr>
        <w:pStyle w:val="Heading1"/>
      </w:pPr>
      <w:r>
        <w:rPr>
          <w:rStyle w:val="SectionNumber"/>
        </w:rPr>
        <w:t xml:space="preserve">2</w:t>
      </w:r>
      <w:r>
        <w:tab/>
      </w:r>
      <w:r>
        <w:t xml:space="preserve">Aims</w:t>
      </w:r>
    </w:p>
    <w:p>
      <w:pPr>
        <w:pStyle w:val="FirstParagraph"/>
      </w:pPr>
      <w:r>
        <w:t xml:space="preserve">The main aim of my PhD will be to test different statistical modeling methods allowing to integrate</w:t>
      </w:r>
      <w:r>
        <w:t xml:space="preserve"> </w:t>
      </w:r>
      <w:r>
        <w:t xml:space="preserve">cross-scales biodiversity data. This method will allow to model biodiversity facets at various spatial</w:t>
      </w:r>
      <w:r>
        <w:t xml:space="preserve"> </w:t>
      </w:r>
      <w:r>
        <w:t xml:space="preserve">and temporal grain sizes.</w:t>
      </w:r>
    </w:p>
    <w:p>
      <w:pPr>
        <w:pStyle w:val="BodyText"/>
      </w:pPr>
      <w:r>
        <w:t xml:space="preserve">This principal objective can be divided into four sub-objectives:</w:t>
      </w:r>
    </w:p>
    <w:p>
      <w:pPr>
        <w:numPr>
          <w:ilvl w:val="0"/>
          <w:numId w:val="1002"/>
        </w:numPr>
      </w:pPr>
      <w:r>
        <w:rPr>
          <w:b/>
        </w:rPr>
        <w:t xml:space="preserve">I will model temporal dynamics of avian species richness in the Czech Republic across spatio-temporal scales</w:t>
      </w:r>
      <w:r>
        <w:t xml:space="preserve"> </w:t>
      </w:r>
      <w:r>
        <w:t xml:space="preserve">(</w:t>
      </w:r>
      <w:r>
        <w:rPr>
          <w:i/>
        </w:rPr>
        <w:t xml:space="preserve">i.e.</w:t>
      </w:r>
      <w:r>
        <w:t xml:space="preserve"> </w:t>
      </w:r>
      <w:r>
        <w:t xml:space="preserve">grain size ranging from less than 1 Km² to more than 2 000</w:t>
      </w:r>
      <w:r>
        <w:t xml:space="preserve"> </w:t>
      </w:r>
      <w:r>
        <w:t xml:space="preserve">Km²). This will allow to map biodiversity over Czech republic at any desired spatial and</w:t>
      </w:r>
      <w:r>
        <w:t xml:space="preserve"> </w:t>
      </w:r>
      <w:r>
        <w:t xml:space="preserve">temporal scales. Given the well known Species-Area Relationship</w:t>
      </w:r>
      <w:r>
        <w:t xml:space="preserve"> </w:t>
      </w:r>
      <w:r>
        <w:t xml:space="preserve">(SAR, Arrhenius</w:t>
      </w:r>
      <w:r>
        <w:t xml:space="preserve"> </w:t>
      </w:r>
      <w:hyperlink w:anchor="ref-arrhenius_species_1921">
        <w:r>
          <w:rPr>
            <w:rStyle w:val="Hyperlink"/>
          </w:rPr>
          <w:t xml:space="preserve">1921</w:t>
        </w:r>
      </w:hyperlink>
      <w:r>
        <w:t xml:space="preserve">; Storch and Gaston</w:t>
      </w:r>
      <w:r>
        <w:t xml:space="preserve"> </w:t>
      </w:r>
      <w:hyperlink w:anchor="ref-storch_untangling_2004">
        <w:r>
          <w:rPr>
            <w:rStyle w:val="Hyperlink"/>
          </w:rPr>
          <w:t xml:space="preserve">2004</w:t>
        </w:r>
      </w:hyperlink>
      <w:r>
        <w:t xml:space="preserve">)</w:t>
      </w:r>
      <w:r>
        <w:t xml:space="preserve"> </w:t>
      </w:r>
      <w:r>
        <w:t xml:space="preserve">and Species-Time Relationship</w:t>
      </w:r>
      <w:r>
        <w:t xml:space="preserve"> </w:t>
      </w:r>
      <w:r>
        <w:t xml:space="preserve">(STR, White et al.</w:t>
      </w:r>
      <w:r>
        <w:t xml:space="preserve"> </w:t>
      </w:r>
      <w:hyperlink w:anchor="ref-white_comparison_2006">
        <w:r>
          <w:rPr>
            <w:rStyle w:val="Hyperlink"/>
          </w:rPr>
          <w:t xml:space="preserve">2006</w:t>
        </w:r>
      </w:hyperlink>
      <w:r>
        <w:t xml:space="preserve">)</w:t>
      </w:r>
      <w:r>
        <w:t xml:space="preserve"> </w:t>
      </w:r>
      <w:r>
        <w:t xml:space="preserve">we expect to</w:t>
      </w:r>
      <w:r>
        <w:t xml:space="preserve"> </w:t>
      </w:r>
      <w:r>
        <w:t xml:space="preserve">see higher species richness at coarser spatial and temporal scales than at finer scales.</w:t>
      </w:r>
      <w:r>
        <w:t xml:space="preserve"> </w:t>
      </w:r>
      <w:r>
        <w:t xml:space="preserve">Moreover, we will be able to look at the effect of grain size over biodiversity trends. So far,</w:t>
      </w:r>
      <w:r>
        <w:t xml:space="preserve"> </w:t>
      </w:r>
      <w:r>
        <w:t xml:space="preserve">Chase et al. (</w:t>
      </w:r>
      <w:hyperlink w:anchor="ref-chase_species_2019">
        <w:r>
          <w:rPr>
            <w:rStyle w:val="Hyperlink"/>
          </w:rPr>
          <w:t xml:space="preserve">2019</w:t>
        </w:r>
      </w:hyperlink>
      <w:r>
        <w:t xml:space="preserve">)</w:t>
      </w:r>
      <w:r>
        <w:t xml:space="preserve"> </w:t>
      </w:r>
      <w:r>
        <w:t xml:space="preserve">showed that North American avian biodiversity is largely stable at fine</w:t>
      </w:r>
      <w:r>
        <w:t xml:space="preserve"> </w:t>
      </w:r>
      <w:r>
        <w:t xml:space="preserve">scales, but that it tends to increase with spatial scale. Thus, we can expect to observe the same</w:t>
      </w:r>
      <w:r>
        <w:t xml:space="preserve"> </w:t>
      </w:r>
      <w:r>
        <w:t xml:space="preserve">trends for the Czech Republic.</w:t>
      </w:r>
    </w:p>
    <w:p>
      <w:pPr>
        <w:numPr>
          <w:ilvl w:val="0"/>
          <w:numId w:val="1002"/>
        </w:numPr>
      </w:pPr>
      <w:r>
        <w:rPr>
          <w:b/>
        </w:rPr>
        <w:t xml:space="preserve">I will decompose the modelled biodiversity to colonization, extinction, and species turnover, across spatio-temporal scales.</w:t>
      </w:r>
      <w:r>
        <w:t xml:space="preserve"> </w:t>
      </w:r>
      <w:r>
        <w:t xml:space="preserve">Indeed, biodiversity dynamic is underlined by</w:t>
      </w:r>
      <w:r>
        <w:t xml:space="preserve"> </w:t>
      </w:r>
      <w:r>
        <w:t xml:space="preserve">those ecological processes whose trends can be opposite to the species richness’ one</w:t>
      </w:r>
      <w:r>
        <w:t xml:space="preserve"> </w:t>
      </w:r>
      <w:r>
        <w:t xml:space="preserve">(Dornelas et al.</w:t>
      </w:r>
      <w:r>
        <w:t xml:space="preserve"> </w:t>
      </w:r>
      <w:hyperlink w:anchor="ref-dornelas_assemblage_2014">
        <w:r>
          <w:rPr>
            <w:rStyle w:val="Hyperlink"/>
          </w:rPr>
          <w:t xml:space="preserve">2014</w:t>
        </w:r>
      </w:hyperlink>
      <w:r>
        <w:t xml:space="preserve">)</w:t>
      </w:r>
      <w:r>
        <w:t xml:space="preserve">. Thus, understanding how they fluctuate according to the spatio-temporal scales</w:t>
      </w:r>
      <w:r>
        <w:t xml:space="preserve"> </w:t>
      </w:r>
      <w:r>
        <w:t xml:space="preserve">they are considered will help understand the global biodiversity dynamic. So far,</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 those facets of biodiversity was in general declining with increasing</w:t>
      </w:r>
      <w:r>
        <w:t xml:space="preserve"> </w:t>
      </w:r>
      <w:r>
        <w:t xml:space="preserve">spatial grain size for the state of New-York. However the colonization undergoes a slower</w:t>
      </w:r>
      <w:r>
        <w:t xml:space="preserve"> </w:t>
      </w:r>
      <w:r>
        <w:t xml:space="preserve">steep. Thus, those trends are also expected to occur with our model for the Czech Republic.</w:t>
      </w:r>
    </w:p>
    <w:p>
      <w:pPr>
        <w:numPr>
          <w:ilvl w:val="0"/>
          <w:numId w:val="1002"/>
        </w:numPr>
      </w:pPr>
      <w:r>
        <w:rPr>
          <w:b/>
        </w:rPr>
        <w:t xml:space="preserve">I will estimate the strength of the link between environmental drivers of biodiversity change across spatio-temporal scales.</w:t>
      </w:r>
      <w:r>
        <w:t xml:space="preserve"> </w:t>
      </w:r>
      <w:r>
        <w:t xml:space="preserve">So far, land use change, habitat loss, or changes in</w:t>
      </w:r>
      <w:r>
        <w:t xml:space="preserve"> </w:t>
      </w:r>
      <w:r>
        <w:t xml:space="preserve">climatic conditions are good candidates for such drivers.</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w:t>
      </w:r>
      <w:r>
        <w:t xml:space="preserve"> </w:t>
      </w:r>
      <w:r>
        <w:t xml:space="preserve">environmental parameters, such as climate change variables (</w:t>
      </w:r>
      <w:r>
        <w:rPr>
          <w:i/>
        </w:rPr>
        <w:t xml:space="preserve">e.g.</w:t>
      </w:r>
      <w:r>
        <w:t xml:space="preserve"> </w:t>
      </w:r>
      <w:r>
        <w:t xml:space="preserve">temperatures, pluviometry)</w:t>
      </w:r>
      <w:r>
        <w:t xml:space="preserve"> </w:t>
      </w:r>
      <w:r>
        <w:t xml:space="preserve">and landscape variables (</w:t>
      </w:r>
      <w:r>
        <w:rPr>
          <w:i/>
        </w:rPr>
        <w:t xml:space="preserve">e.g.</w:t>
      </w:r>
      <w:r>
        <w:t xml:space="preserve"> </w:t>
      </w:r>
      <w:r>
        <w:t xml:space="preserve">elevation, sampling effort), were dependent on the spatial scale</w:t>
      </w:r>
      <w:r>
        <w:t xml:space="preserve"> </w:t>
      </w:r>
      <w:r>
        <w:t xml:space="preserve">on the one hand, but also on the metric considered on the other hand (</w:t>
      </w:r>
      <w:r>
        <w:rPr>
          <w:i/>
        </w:rPr>
        <w:t xml:space="preserve">i.e.</w:t>
      </w:r>
      <w:r>
        <w:t xml:space="preserve"> </w:t>
      </w:r>
      <w:r>
        <w:t xml:space="preserve">colonization,</w:t>
      </w:r>
      <w:r>
        <w:t xml:space="preserve"> </w:t>
      </w:r>
      <w:r>
        <w:t xml:space="preserve">extinction…). Thus, the expectations are more difficult to assess here. What we know is that at</w:t>
      </w:r>
      <w:r>
        <w:t xml:space="preserve"> </w:t>
      </w:r>
      <w:r>
        <w:t xml:space="preserve">larger scales (</w:t>
      </w:r>
      <w:r>
        <w:rPr>
          <w:i/>
        </w:rPr>
        <w:t xml:space="preserve">i.e.</w:t>
      </w:r>
      <w:r>
        <w:t xml:space="preserve"> </w:t>
      </w:r>
      <w:r>
        <w:t xml:space="preserve">biogeographic or continental), evolutionary processes tend to drive the</w:t>
      </w:r>
      <w:r>
        <w:t xml:space="preserve"> </w:t>
      </w:r>
      <w:r>
        <w:t xml:space="preserve">biodiversity patterns</w:t>
      </w:r>
      <w:r>
        <w:t xml:space="preserve"> </w:t>
      </w:r>
      <w:r>
        <w:t xml:space="preserve">(Keil and Jetz</w:t>
      </w:r>
      <w:r>
        <w:t xml:space="preserve"> </w:t>
      </w:r>
      <w:hyperlink w:anchor="ref-keil_downscaling_2014">
        <w:r>
          <w:rPr>
            <w:rStyle w:val="Hyperlink"/>
          </w:rPr>
          <w:t xml:space="preserve">2014</w:t>
        </w:r>
      </w:hyperlink>
      <w:r>
        <w:t xml:space="preserve">)</w:t>
      </w:r>
      <w:r>
        <w:t xml:space="preserve">. Climatic and land cover parameters, for their part,</w:t>
      </w:r>
      <w:r>
        <w:t xml:space="preserve"> </w:t>
      </w:r>
      <w:r>
        <w:t xml:space="preserve">intervene at scales ranging from tens to hundreds of kilometers. At even finer scales, biotic</w:t>
      </w:r>
      <w:r>
        <w:t xml:space="preserve"> </w:t>
      </w:r>
      <w:r>
        <w:t xml:space="preserve">and population dynamics processes are driving.</w:t>
      </w:r>
    </w:p>
    <w:p>
      <w:pPr>
        <w:numPr>
          <w:ilvl w:val="0"/>
          <w:numId w:val="1002"/>
        </w:numPr>
      </w:pPr>
      <w:r>
        <w:rPr>
          <w:b/>
        </w:rPr>
        <w:t xml:space="preserve">Once the methods will be validated for the Czech Republic, the logical continuation will be to use it over other European regions (</w:t>
      </w:r>
      <w:r>
        <w:rPr>
          <w:b/>
        </w:rPr>
        <w:t xml:space="preserve"> </w:t>
      </w:r>
      <w:r>
        <w:rPr>
          <w:b/>
        </w:rPr>
        <w:t xml:space="preserve">Switzerland, United-Kingdom, Brittany).</w:t>
      </w:r>
      <w:r>
        <w:t xml:space="preserve"> </w:t>
      </w:r>
      <w:r>
        <w:t xml:space="preserve">The main advantage of looking at other countries is to look at the trend of</w:t>
      </w:r>
      <w:r>
        <w:t xml:space="preserve"> </w:t>
      </w:r>
      <w:r>
        <w:t xml:space="preserve">biodiversity facets at larger scales. As for objective 1, we can also expect that the species</w:t>
      </w:r>
      <w:r>
        <w:t xml:space="preserve"> </w:t>
      </w:r>
      <w:r>
        <w:t xml:space="preserve">richness trends will tend to increase with spatial scale</w:t>
      </w:r>
      <w:r>
        <w:t xml:space="preserve"> </w:t>
      </w:r>
      <w:r>
        <w:t xml:space="preserve">(Chase et al.</w:t>
      </w:r>
      <w:r>
        <w:t xml:space="preserve"> </w:t>
      </w:r>
      <w:hyperlink w:anchor="ref-chase_species_2019">
        <w:r>
          <w:rPr>
            <w:rStyle w:val="Hyperlink"/>
          </w:rPr>
          <w:t xml:space="preserve">2019</w:t>
        </w:r>
      </w:hyperlink>
      <w:r>
        <w:t xml:space="preserve">)</w:t>
      </w:r>
      <w:r>
        <w:t xml:space="preserve"> </w:t>
      </w:r>
      <w:r>
        <w:t xml:space="preserve">whilst, as for</w:t>
      </w:r>
      <w:r>
        <w:t xml:space="preserve"> </w:t>
      </w:r>
      <w:r>
        <w:t xml:space="preserve">objective 2, other biodiversity dynamic indexes will decrease</w:t>
      </w:r>
      <w:r>
        <w:t xml:space="preserve"> </w:t>
      </w:r>
      <w:r>
        <w:t xml:space="preserve">(Jarzyna et al.</w:t>
      </w:r>
      <w:r>
        <w:t xml:space="preserve"> </w:t>
      </w:r>
      <w:hyperlink w:anchor="ref-jarzyna_spatial_2015">
        <w:r>
          <w:rPr>
            <w:rStyle w:val="Hyperlink"/>
          </w:rPr>
          <w:t xml:space="preserve">2015</w:t>
        </w:r>
      </w:hyperlink>
      <w:r>
        <w:t xml:space="preserve">)</w:t>
      </w:r>
      <w:r>
        <w:t xml:space="preserve">.</w:t>
      </w:r>
    </w:p>
    <w:bookmarkEnd w:id="25"/>
    <w:bookmarkStart w:id="54" w:name="method"/>
    <w:p>
      <w:pPr>
        <w:pStyle w:val="Heading1"/>
      </w:pPr>
      <w:r>
        <w:rPr>
          <w:rStyle w:val="SectionNumber"/>
        </w:rPr>
        <w:t xml:space="preserve">3</w:t>
      </w:r>
      <w:r>
        <w:tab/>
      </w:r>
      <w:r>
        <w:t xml:space="preserve">Methodological approach</w:t>
      </w:r>
    </w:p>
    <w:bookmarkStart w:id="53" w:name="data"/>
    <w:p>
      <w:pPr>
        <w:pStyle w:val="Heading2"/>
      </w:pPr>
      <w:r>
        <w:rPr>
          <w:rStyle w:val="SectionNumber"/>
        </w:rPr>
        <w:t xml:space="preserve">3.1</w:t>
      </w:r>
      <w:r>
        <w:tab/>
      </w:r>
      <w:r>
        <w:t xml:space="preserve">Data</w:t>
      </w:r>
    </w:p>
    <w:p>
      <w:pPr>
        <w:pStyle w:val="FirstParagraph"/>
      </w:pPr>
      <w:r>
        <w:t xml:space="preserve">A significant part of this project will consist in</w:t>
      </w:r>
      <w:r>
        <w:t xml:space="preserve"> </w:t>
      </w:r>
      <w:r>
        <w:rPr>
          <w:b/>
        </w:rPr>
        <w:t xml:space="preserve">1)</w:t>
      </w:r>
      <w:r>
        <w:t xml:space="preserve"> </w:t>
      </w:r>
      <w:r>
        <w:t xml:space="preserve">harvesting, gathering and managing biodiversity</w:t>
      </w:r>
      <w:r>
        <w:t xml:space="preserve"> </w:t>
      </w:r>
      <w:r>
        <w:t xml:space="preserve">datasets of the aimed taxon (i.e. birds here) in order to</w:t>
      </w:r>
      <w:r>
        <w:t xml:space="preserve"> </w:t>
      </w:r>
      <w:r>
        <w:rPr>
          <w:b/>
        </w:rPr>
        <w:t xml:space="preserve">2)</w:t>
      </w:r>
      <w:r>
        <w:t xml:space="preserve"> </w:t>
      </w:r>
      <w:r>
        <w:t xml:space="preserve">use them to model biodiversity facets</w:t>
      </w:r>
      <w:r>
        <w:t xml:space="preserve"> </w:t>
      </w:r>
      <w:r>
        <w:t xml:space="preserve">across spatial and temporal scales.</w:t>
      </w:r>
    </w:p>
    <w:bookmarkStart w:id="52" w:name="refs"/>
    <w:bookmarkStart w:id="27"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26">
        <w:r>
          <w:rPr>
            <w:rStyle w:val="Hyperlink"/>
          </w:rPr>
          <w:t xml:space="preserve">https://doi.org/10.2307/2255763</w:t>
        </w:r>
      </w:hyperlink>
      <w:r>
        <w:t xml:space="preserve">.</w:t>
      </w:r>
    </w:p>
    <w:bookmarkEnd w:id="27"/>
    <w:bookmarkStart w:id="29"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28">
        <w:r>
          <w:rPr>
            <w:rStyle w:val="Hyperlink"/>
          </w:rPr>
          <w:t xml:space="preserve">https://doi.org/10.1038/nature09678</w:t>
        </w:r>
      </w:hyperlink>
      <w:r>
        <w:t xml:space="preserve">.</w:t>
      </w:r>
    </w:p>
    <w:bookmarkEnd w:id="29"/>
    <w:bookmarkStart w:id="31"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30">
        <w:r>
          <w:rPr>
            <w:rStyle w:val="Hyperlink"/>
          </w:rPr>
          <w:t xml:space="preserve">https://doi.org/10.1126/science.aaw1620</w:t>
        </w:r>
      </w:hyperlink>
      <w:r>
        <w:t xml:space="preserve">.</w:t>
      </w:r>
    </w:p>
    <w:bookmarkEnd w:id="31"/>
    <w:bookmarkStart w:id="33"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32">
        <w:r>
          <w:rPr>
            <w:rStyle w:val="Hyperlink"/>
          </w:rPr>
          <w:t xml:space="preserve">https://doi.org/10.1111/oik.05968</w:t>
        </w:r>
      </w:hyperlink>
      <w:r>
        <w:t xml:space="preserve">.</w:t>
      </w:r>
    </w:p>
    <w:bookmarkEnd w:id="33"/>
    <w:bookmarkStart w:id="35"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34">
        <w:r>
          <w:rPr>
            <w:rStyle w:val="Hyperlink"/>
          </w:rPr>
          <w:t xml:space="preserve">https://doi.org/10.1126/science.1248484</w:t>
        </w:r>
      </w:hyperlink>
      <w:r>
        <w:t xml:space="preserve">.</w:t>
      </w:r>
    </w:p>
    <w:bookmarkEnd w:id="35"/>
    <w:bookmarkStart w:id="37"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36">
        <w:r>
          <w:rPr>
            <w:rStyle w:val="Hyperlink"/>
          </w:rPr>
          <w:t xml:space="preserve">https://doi.org/10.1111/geb.12361</w:t>
        </w:r>
      </w:hyperlink>
      <w:r>
        <w:t xml:space="preserve">.</w:t>
      </w:r>
    </w:p>
    <w:bookmarkEnd w:id="37"/>
    <w:bookmarkStart w:id="39"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38">
        <w:r>
          <w:rPr>
            <w:rStyle w:val="Hyperlink"/>
          </w:rPr>
          <w:t xml:space="preserve">https://doi.org/10.1111/j.2041-210x.2012.00264.x</w:t>
        </w:r>
      </w:hyperlink>
      <w:r>
        <w:t xml:space="preserve">.</w:t>
      </w:r>
    </w:p>
    <w:bookmarkEnd w:id="39"/>
    <w:bookmarkStart w:id="41"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40">
        <w:r>
          <w:rPr>
            <w:rStyle w:val="Hyperlink"/>
          </w:rPr>
          <w:t xml:space="preserve">https://doi.org/10.1890/13-0805.1</w:t>
        </w:r>
      </w:hyperlink>
      <w:r>
        <w:t xml:space="preserve">.</w:t>
      </w:r>
    </w:p>
    <w:bookmarkEnd w:id="41"/>
    <w:bookmarkStart w:id="43"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42">
        <w:r>
          <w:rPr>
            <w:rStyle w:val="Hyperlink"/>
          </w:rPr>
          <w:t xml:space="preserve">https://doi.org/10.1002/ecm.1284</w:t>
        </w:r>
      </w:hyperlink>
      <w:r>
        <w:t xml:space="preserve">.</w:t>
      </w:r>
    </w:p>
    <w:bookmarkEnd w:id="43"/>
    <w:bookmarkStart w:id="45"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44">
        <w:r>
          <w:rPr>
            <w:rStyle w:val="Hyperlink"/>
          </w:rPr>
          <w:t xml:space="preserve">https://doi.org/10.1146/annurev-environ-042911-093511</w:t>
        </w:r>
      </w:hyperlink>
      <w:r>
        <w:t xml:space="preserve">.</w:t>
      </w:r>
    </w:p>
    <w:bookmarkEnd w:id="45"/>
    <w:bookmarkStart w:id="47" w:name="ref-storch_untangling_2004"/>
    <w:p>
      <w:pPr>
        <w:pStyle w:val="Bibliography"/>
      </w:pPr>
      <w:r>
        <w:t xml:space="preserve">Storch, David, and Kevin J. Gaston. 2004. “Untangling Ecological Complexity on Different Scales of Space and Time.”</w:t>
      </w:r>
      <w:r>
        <w:t xml:space="preserve"> </w:t>
      </w:r>
      <w:r>
        <w:rPr>
          <w:i/>
        </w:rPr>
        <w:t xml:space="preserve">Basic and Applied Ecology</w:t>
      </w:r>
      <w:r>
        <w:t xml:space="preserve"> </w:t>
      </w:r>
      <w:r>
        <w:t xml:space="preserve">5 (5): 389–400.</w:t>
      </w:r>
      <w:r>
        <w:t xml:space="preserve"> </w:t>
      </w:r>
      <w:hyperlink r:id="rId46">
        <w:r>
          <w:rPr>
            <w:rStyle w:val="Hyperlink"/>
          </w:rPr>
          <w:t xml:space="preserve">https://doi.org/10.1016/j.baae.2004.08.001</w:t>
        </w:r>
      </w:hyperlink>
      <w:r>
        <w:t xml:space="preserve">.</w:t>
      </w:r>
    </w:p>
    <w:bookmarkEnd w:id="47"/>
    <w:bookmarkStart w:id="49" w:name="ref-white_comparison_2006"/>
    <w:p>
      <w:pPr>
        <w:pStyle w:val="Bibliography"/>
      </w:pPr>
      <w:r>
        <w:t xml:space="preserve">White, Ethan P., Peter B. Adler, William K. Lauenroth, Richard A. Gill, David Greenberg, Dawn M. Kaufman, Andrew Rassweiler, et al. 2006. “A Comparison of the Species–Time Relationship Across Ecosystems and Taxonomic Groups.”</w:t>
      </w:r>
      <w:r>
        <w:t xml:space="preserve"> </w:t>
      </w:r>
      <w:r>
        <w:rPr>
          <w:i/>
        </w:rPr>
        <w:t xml:space="preserve">Oikos</w:t>
      </w:r>
      <w:r>
        <w:t xml:space="preserve"> </w:t>
      </w:r>
      <w:r>
        <w:t xml:space="preserve">112 (1): 185–95.</w:t>
      </w:r>
      <w:r>
        <w:t xml:space="preserve"> </w:t>
      </w:r>
      <w:hyperlink r:id="rId48">
        <w:r>
          <w:rPr>
            <w:rStyle w:val="Hyperlink"/>
          </w:rPr>
          <w:t xml:space="preserve">https://doi.org/https://doi.org/10.1111/j.0030-1299.2006.14223.x</w:t>
        </w:r>
      </w:hyperlink>
      <w:r>
        <w:t xml:space="preserve">.</w:t>
      </w:r>
    </w:p>
    <w:bookmarkEnd w:id="49"/>
    <w:bookmarkStart w:id="51"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50">
        <w:r>
          <w:rPr>
            <w:rStyle w:val="Hyperlink"/>
          </w:rPr>
          <w:t xml:space="preserve">https://doi.org/https://doi.org/10.1046/j.1365-2699.2001.00563.x</w:t>
        </w:r>
      </w:hyperlink>
      <w:r>
        <w:t xml:space="preserve">.</w:t>
      </w:r>
    </w:p>
    <w:bookmarkEnd w:id="51"/>
    <w:bookmarkEnd w:id="52"/>
    <w:bookmarkEnd w:id="53"/>
    <w:bookmarkEnd w:id="54"/>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42" Target="https://doi.org/10.1002/ecm.1284" TargetMode="External" /><Relationship Type="http://schemas.openxmlformats.org/officeDocument/2006/relationships/hyperlink" Id="rId46" Target="https://doi.org/10.1016/j.baae.2004.08.001" TargetMode="External" /><Relationship Type="http://schemas.openxmlformats.org/officeDocument/2006/relationships/hyperlink" Id="rId28" Target="https://doi.org/10.1038/nature09678" TargetMode="External" /><Relationship Type="http://schemas.openxmlformats.org/officeDocument/2006/relationships/hyperlink" Id="rId36" Target="https://doi.org/10.1111/geb.12361" TargetMode="External" /><Relationship Type="http://schemas.openxmlformats.org/officeDocument/2006/relationships/hyperlink" Id="rId38" Target="https://doi.org/10.1111/j.2041-210x.2012.00264.x" TargetMode="External" /><Relationship Type="http://schemas.openxmlformats.org/officeDocument/2006/relationships/hyperlink" Id="rId32" Target="https://doi.org/10.1111/oik.05968" TargetMode="External" /><Relationship Type="http://schemas.openxmlformats.org/officeDocument/2006/relationships/hyperlink" Id="rId34" Target="https://doi.org/10.1126/science.1248484" TargetMode="External" /><Relationship Type="http://schemas.openxmlformats.org/officeDocument/2006/relationships/hyperlink" Id="rId30" Target="https://doi.org/10.1126/science.aaw1620" TargetMode="External" /><Relationship Type="http://schemas.openxmlformats.org/officeDocument/2006/relationships/hyperlink" Id="rId44" Target="https://doi.org/10.1146/annurev-environ-042911-093511" TargetMode="External" /><Relationship Type="http://schemas.openxmlformats.org/officeDocument/2006/relationships/hyperlink" Id="rId40" Target="https://doi.org/10.1890/13-0805.1" TargetMode="External" /><Relationship Type="http://schemas.openxmlformats.org/officeDocument/2006/relationships/hyperlink" Id="rId26" Target="https://doi.org/10.2307/2255763" TargetMode="External" /><Relationship Type="http://schemas.openxmlformats.org/officeDocument/2006/relationships/hyperlink" Id="rId50" Target="https://doi.org/https://doi.org/10.1046/j.1365-2699.2001.00563.x" TargetMode="External" /><Relationship Type="http://schemas.openxmlformats.org/officeDocument/2006/relationships/hyperlink" Id="rId48" Target="https://doi.org/https://doi.org/10.1111/j.0030-1299.2006.14223.x" TargetMode="External" /><Relationship Type="http://schemas.openxmlformats.org/officeDocument/2006/relationships/hyperlink" Id="rId20" Target="https://www.fzp.czu.cz/en/r-9407-departments/r-9471-departments/r-9649-department-of-spatial-sciences" TargetMode="External" /></Relationships>
</file>

<file path=word/_rels/footnotes.xml.rels><?xml version="1.0" encoding="UTF-8"?>
<Relationships xmlns="http://schemas.openxmlformats.org/package/2006/relationships"><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42" Target="https://doi.org/10.1002/ecm.1284" TargetMode="External" /><Relationship Type="http://schemas.openxmlformats.org/officeDocument/2006/relationships/hyperlink" Id="rId46" Target="https://doi.org/10.1016/j.baae.2004.08.001" TargetMode="External" /><Relationship Type="http://schemas.openxmlformats.org/officeDocument/2006/relationships/hyperlink" Id="rId28" Target="https://doi.org/10.1038/nature09678" TargetMode="External" /><Relationship Type="http://schemas.openxmlformats.org/officeDocument/2006/relationships/hyperlink" Id="rId36" Target="https://doi.org/10.1111/geb.12361" TargetMode="External" /><Relationship Type="http://schemas.openxmlformats.org/officeDocument/2006/relationships/hyperlink" Id="rId38" Target="https://doi.org/10.1111/j.2041-210x.2012.00264.x" TargetMode="External" /><Relationship Type="http://schemas.openxmlformats.org/officeDocument/2006/relationships/hyperlink" Id="rId32" Target="https://doi.org/10.1111/oik.05968" TargetMode="External" /><Relationship Type="http://schemas.openxmlformats.org/officeDocument/2006/relationships/hyperlink" Id="rId34" Target="https://doi.org/10.1126/science.1248484" TargetMode="External" /><Relationship Type="http://schemas.openxmlformats.org/officeDocument/2006/relationships/hyperlink" Id="rId30" Target="https://doi.org/10.1126/science.aaw1620" TargetMode="External" /><Relationship Type="http://schemas.openxmlformats.org/officeDocument/2006/relationships/hyperlink" Id="rId44" Target="https://doi.org/10.1146/annurev-environ-042911-093511" TargetMode="External" /><Relationship Type="http://schemas.openxmlformats.org/officeDocument/2006/relationships/hyperlink" Id="rId40" Target="https://doi.org/10.1890/13-0805.1" TargetMode="External" /><Relationship Type="http://schemas.openxmlformats.org/officeDocument/2006/relationships/hyperlink" Id="rId26" Target="https://doi.org/10.2307/2255763" TargetMode="External" /><Relationship Type="http://schemas.openxmlformats.org/officeDocument/2006/relationships/hyperlink" Id="rId50" Target="https://doi.org/https://doi.org/10.1046/j.1365-2699.2001.00563.x" TargetMode="External" /><Relationship Type="http://schemas.openxmlformats.org/officeDocument/2006/relationships/hyperlink" Id="rId48" Target="https://doi.org/https://doi.org/10.1111/j.0030-1299.2006.14223.x" TargetMode="External" /><Relationship Type="http://schemas.openxmlformats.org/officeDocument/2006/relationships/hyperlink" Id="rId20" Target="https://www.fzp.czu.cz/en/r-9407-departments/r-9471-departments/r-9649-department-of-spatial-sci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Methodology of François Leroy PhD student at the Czech University of life sciences in Prague</dc:description>
  <cp:keywords/>
  <dcterms:created xsi:type="dcterms:W3CDTF">2021-04-06T14:56:58Z</dcterms:created>
  <dcterms:modified xsi:type="dcterms:W3CDTF">2021-04-06T14:56:58Z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2021-04-06</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lof">
    <vt:lpwstr>True</vt:lpwstr>
  </property>
  <property fmtid="{D5CDD505-2E9C-101B-9397-08002B2CF9AE}" pid="14" name="lot">
    <vt:lpwstr>yes</vt:lpwstr>
  </property>
  <property fmtid="{D5CDD505-2E9C-101B-9397-08002B2CF9AE}" pid="15" name="site">
    <vt:lpwstr>bookdown::bookdown_site</vt:lpwstr>
  </property>
</Properties>
</file>