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nnotation"/>
    <w:p>
      <w:pPr>
        <w:pStyle w:val="Heading1"/>
      </w:pPr>
      <w:r>
        <w:t xml:space="preserve">Annotation</w:t>
      </w:r>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w:t>
      </w:r>
      <w:r>
        <w:rPr>
          <w:i/>
        </w:rPr>
        <w:t xml:space="preserve">i.e.</w:t>
      </w:r>
      <w:r>
        <w:t xml:space="preserve"> </w:t>
      </w:r>
      <w:r>
        <w:t xml:space="preserve">species richness, species diversity, colonization, extinction,</w:t>
      </w:r>
      <w:r>
        <w:t xml:space="preserve"> </w:t>
      </w:r>
      <w:r>
        <w:t xml:space="preserve">species turnover etc)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numPr>
          <w:ilvl w:val="0"/>
          <w:numId w:val="1001"/>
        </w:numPr>
        <w:pStyle w:val="Compact"/>
      </w:pPr>
      <w:r>
        <w:t xml:space="preserve">Modelling and mapping avian species richness changes over Czech Republic across space and time</w:t>
      </w:r>
      <w:r>
        <w:t xml:space="preserve"> </w:t>
      </w:r>
      <w:r>
        <w:t xml:space="preserve">scales.</w:t>
      </w:r>
    </w:p>
    <w:p>
      <w:pPr>
        <w:numPr>
          <w:ilvl w:val="0"/>
          <w:numId w:val="1001"/>
        </w:numPr>
        <w:pStyle w:val="Compact"/>
      </w:pPr>
      <w:r>
        <w:t xml:space="preserve">Decompose the modelled biodiversity to colonization, extinction, species turnover, across spatiotemporal</w:t>
      </w:r>
      <w:r>
        <w:t xml:space="preserve"> </w:t>
      </w:r>
      <w:r>
        <w:t xml:space="preserve">scales.</w:t>
      </w:r>
    </w:p>
    <w:p>
      <w:pPr>
        <w:numPr>
          <w:ilvl w:val="0"/>
          <w:numId w:val="1001"/>
        </w:numPr>
        <w:pStyle w:val="Compact"/>
      </w:pPr>
      <w:r>
        <w:t xml:space="preserve">Estimate the strength of the link between environmental drivers of biodiversity change across</w:t>
      </w:r>
      <w:r>
        <w:t xml:space="preserve"> </w:t>
      </w:r>
      <w:r>
        <w:t xml:space="preserve">spatio-temporal scales.</w:t>
      </w:r>
    </w:p>
    <w:p>
      <w:pPr>
        <w:numPr>
          <w:ilvl w:val="0"/>
          <w:numId w:val="1001"/>
        </w:numPr>
        <w:pStyle w:val="Compact"/>
      </w:pPr>
      <w:r>
        <w:t xml:space="preserve">Apply the previously developed method to other European regions (e.g. UK, Switzerland, France)</w:t>
      </w:r>
    </w:p>
    <w:bookmarkEnd w:id="20"/>
    <w:bookmarkStart w:id="24" w:name="intro"/>
    <w:p>
      <w:pPr>
        <w:pStyle w:val="Heading1"/>
      </w:pPr>
      <w:r>
        <w:rPr>
          <w:rStyle w:val="SectionNumber"/>
        </w:rPr>
        <w:t xml:space="preserve">1</w:t>
      </w:r>
      <w:r>
        <w:tab/>
      </w:r>
      <w:r>
        <w:t xml:space="preserve">Introduction</w:t>
      </w:r>
    </w:p>
    <w:p>
      <w:pPr>
        <w:pStyle w:val="FirstParagraph"/>
      </w:pPr>
      <w:r>
        <w:t xml:space="preserve">Human life quality is intrinsically linked to ecosystems state that he is living in. Indeed, ecosystems</w:t>
      </w:r>
      <w:r>
        <w:t xml:space="preserve"> </w:t>
      </w:r>
      <w:r>
        <w:t xml:space="preserve">services extend in a large spectrum of mechanisms including nutrient cycle, food production, or</w:t>
      </w:r>
      <w:r>
        <w:t xml:space="preserve"> </w:t>
      </w:r>
      <w:r>
        <w:t xml:space="preserve">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w:t>
      </w:r>
    </w:p>
    <w:bookmarkStart w:id="23" w:name="refs"/>
    <w:bookmarkStart w:id="22"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21">
        <w:r>
          <w:rPr>
            <w:rStyle w:val="Hyperlink"/>
          </w:rPr>
          <w:t xml:space="preserve">https://doi.org/10.1146/annurev-environ-042911-093511</w:t>
        </w:r>
      </w:hyperlink>
      <w:r>
        <w:t xml:space="preserve">.</w:t>
      </w:r>
    </w:p>
    <w:bookmarkEnd w:id="22"/>
    <w:bookmarkEnd w:id="23"/>
    <w:bookmarkEnd w:id="24"/>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146/annurev-environ-042911-093511"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146/annurev-environ-042911-093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Methodology of François Leroy PhD student at the Czech University of life sciences in Prague</dc:description>
  <cp:keywords/>
  <dcterms:created xsi:type="dcterms:W3CDTF">2021-04-05T18:44:06Z</dcterms:created>
  <dcterms:modified xsi:type="dcterms:W3CDTF">2021-04-05T18:44:06Z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2021-04-05</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lof">
    <vt:lpwstr>True</vt:lpwstr>
  </property>
  <property fmtid="{D5CDD505-2E9C-101B-9397-08002B2CF9AE}" pid="14" name="lot">
    <vt:lpwstr>yes</vt:lpwstr>
  </property>
  <property fmtid="{D5CDD505-2E9C-101B-9397-08002B2CF9AE}" pid="15" name="site">
    <vt:lpwstr>bookdown::bookdown_site</vt:lpwstr>
  </property>
</Properties>
</file>