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AI Component Briefing — Katana</w:t>
      </w:r>
    </w:p>
    <w:p>
      <w:pPr>
        <w:spacing w:after="60" w:before="0"/>
      </w:pPr>
      <w:r>
        <w:rPr>
          <w:i/>
          <w:iCs/>
          <w:color w:val="595959"/>
          <w:sz w:val="24"/>
          <w:szCs w:val="24"/>
        </w:rPr>
        <w:t xml:space="preserve">Internal prep for the Drew + partners conversation</w:t>
      </w:r>
    </w:p>
    <w:p>
      <w:pPr>
        <w:pBdr>
          <w:bottom w:val="single" w:color="2E75B6" w:sz="8" w:space="6"/>
        </w:pBdr>
        <w:tabs>
          <w:tab w:val="right" w:pos="9360"/>
        </w:tabs>
        <w:spacing w:after="400" w:before="0"/>
      </w:pPr>
      <w:r>
        <w:rPr>
          <w:color w:val="595959"/>
        </w:rPr>
        <w:t xml:space="preserve">Prepared by Mike / Fructify LLC  </w:t>
      </w:r>
      <w:r>
        <w:rPr>
          <w:color w:val="595959"/>
        </w:rPr>
        <w:t xml:space="preserve">	v1 — 2026-04-21</w:t>
      </w:r>
    </w:p>
    <w:p>
      <w:pPr>
        <w:pStyle w:val="Heading1"/>
      </w:pPr>
      <w:r>
        <w:t xml:space="preserve">1. Executive POV</w:t>
      </w:r>
    </w:p>
    <w:p>
      <w:pPr>
        <w:spacing w:after="80" w:before="80"/>
      </w:pPr>
      <w:r>
        <w:t xml:space="preserve">Drew and his partners want to understand what the AI component of Katana actually looks like — both how Katana uses AI as a business, and what it delivers to clients who vary widely in technical sophistication. Drew’s pivot on AI was pulled by prospect demand, not pushed by hype, which is the best possible starting condition.</w:t>
      </w:r>
    </w:p>
    <w:p>
      <w:pPr>
        <w:spacing w:after="80" w:before="80"/>
      </w:pPr>
      <w:r>
        <w:t xml:space="preserve">This brief is structured around Anthropic’s AI Fluency 4D framework (Delegation, Description, Discernment, Diligence) because it does two jobs at once: it is a credible operating discipline for Katana internally, and it is a teachable structure Katana can sell to clients. One framework, two layers.</w:t>
      </w:r>
    </w:p>
    <w:p>
      <w:pPr>
        <w:shd w:fill="E8F4F8" w:val="clear"/>
        <w:spacing w:after="160" w:before="160"/>
        <w:ind w:left="240" w:right="240"/>
      </w:pPr>
      <w:r>
        <w:rPr>
          <w:b/>
          <w:bCs/>
          <w:color w:val="1F4E79"/>
        </w:rPr>
        <w:t xml:space="preserve">Mike’s stance walking into the meeting: </w:t>
      </w:r>
      <w:r>
        <w:t xml:space="preserve">Don’t let this become a vendor debate. Lead with the 4D framework, put the Readiness Assessment on the table as the first sellable thing, and treat Claude-vs-Copilot as a per-task decision the 4D framework already resolves. Katana’s differentiation is not which tool they resell; it is that they deliver the enablement layer clients can’t buy from Microsoft.</w:t>
      </w:r>
    </w:p>
    <w:p>
      <w:pPr>
        <w:spacing w:after="40" w:before="120"/>
      </w:pPr>
      <w:r>
        <w:rPr>
          <w:b/>
          <w:bCs/>
        </w:rPr>
        <w:t xml:space="preserve">Three decisions this conversation should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Decision</w:t>
            </w:r>
          </w:p>
        </w:tc>
        <w:tc>
          <w:tcPr>
            <w:tcW w:type="dxa" w:w="5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Mike’s recommended stance</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Stack posture — Claude, Copilot, or both?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Both. Claude as Katana’s internal brain and for reasoning-heavy client work. Copilot where the client lives in M365. Lead the client conversation with "the right tool for the task," not "pick a vendor."</w:t>
            </w:r>
          </w:p>
        </w:tc>
      </w:tr>
      <w:tr>
        <w:trPr>
          <w:tblHeader w:val="false"/>
        </w:trPr>
        <w:tc>
          <w:tcPr>
            <w:tcW w:type="dxa" w:w="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2</w:t>
            </w:r>
          </w:p>
        </w:tc>
        <w:tc>
          <w:tcPr>
            <w:tcW w:type="dxa" w:w="3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First productized AI offer?</w:t>
            </w:r>
          </w:p>
        </w:tc>
        <w:tc>
          <w:tcPr>
            <w:tcW w:type="dxa" w:w="57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Readiness Assessment — fixed scope, fixed price, 2 weeks. Uses the 4D framework as the scoring rubric. Every client starts here.</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3</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Who owns the AI story at Katana?</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Needs a named owner (Drew or a partner). Without one, the offer drifts. Ask who it is in the meeting.</w:t>
            </w:r>
          </w:p>
        </w:tc>
      </w:tr>
    </w:tbl>
    <w:p>
      <w:pPr>
        <w:pStyle w:val="Heading1"/>
      </w:pPr>
      <w:r>
        <w:t xml:space="preserve">2. The 4D Framework — Why This Is the Right Lens</w:t>
      </w:r>
    </w:p>
    <w:p>
      <w:pPr>
        <w:spacing w:after="80" w:before="80"/>
      </w:pPr>
      <w:r>
        <w:t xml:space="preserve">The AI Fluency 4D framework was built by Anthropic with Rick Dakan and Joseph Feller. It frames AI collaboration as four interconnected competencies that apply across automation, augmentation, and agent-based use. It works here for three reasons.</w:t>
      </w:r>
    </w:p>
    <w:p>
      <w:pPr>
        <w:pStyle w:val="ListParagraph"/>
        <w:numPr>
          <w:ilvl w:val="0"/>
          <w:numId w:val="2"/>
        </w:numPr>
        <w:spacing w:after="40" w:before="40"/>
      </w:pPr>
      <w:r>
        <w:t xml:space="preserve">It maps cleanly to what an MSP already does: delegate tasks (managed services), describe requirements (tickets), discern quality (QA/runbooks), and do diligent compliance work (policy).</w:t>
      </w:r>
    </w:p>
    <w:p>
      <w:pPr>
        <w:pStyle w:val="ListParagraph"/>
        <w:numPr>
          <w:ilvl w:val="0"/>
          <w:numId w:val="2"/>
        </w:numPr>
        <w:spacing w:after="40" w:before="40"/>
      </w:pPr>
      <w:r>
        <w:t xml:space="preserve">It gives Katana a ready-made client training program that is not vendor-specific — Copilot clients and Claude clients both need it.</w:t>
      </w:r>
    </w:p>
    <w:p>
      <w:pPr>
        <w:pStyle w:val="ListParagraph"/>
        <w:numPr>
          <w:ilvl w:val="0"/>
          <w:numId w:val="2"/>
        </w:numPr>
        <w:spacing w:after="40" w:before="40"/>
      </w:pPr>
      <w:r>
        <w:t xml:space="preserve">It turns the "AI safeguards" demand from Drew’s prospects into a productizable offer rather than a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The D</w:t>
            </w:r>
          </w:p>
        </w:tc>
        <w:tc>
          <w:tcPr>
            <w:tcW w:type="dxa" w:w="38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it means</w:t>
            </w:r>
          </w:p>
        </w:tc>
        <w:tc>
          <w:tcPr>
            <w:tcW w:type="dxa" w:w="38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Katana ships because of it</w:t>
            </w:r>
          </w:p>
        </w:tc>
      </w:tr>
      <w:tr>
        <w:trPr>
          <w:tblHeader w:val="false"/>
        </w:trP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w:t>
            </w:r>
          </w:p>
        </w:tc>
        <w:tc>
          <w:tcPr>
            <w:tcW w:type="dxa" w:w="3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Deciding what AI should do vs. what humans should do. Goal-setting and task distribution.</w:t>
            </w:r>
          </w:p>
        </w:tc>
        <w:tc>
          <w:tcPr>
            <w:tcW w:type="dxa" w:w="3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Readiness Assessment — a scored deliverable that names exactly which tasks a client should delegate to AI.</w:t>
            </w:r>
          </w:p>
        </w:tc>
      </w:tr>
      <w:tr>
        <w:trPr>
          <w:tblHeader w:val="false"/>
        </w:trPr>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Description</w:t>
            </w:r>
          </w:p>
        </w:tc>
        <w:tc>
          <w:tcPr>
            <w:tcW w:type="dxa" w:w="38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Communicating with AI clearly: context, goals, measurable outputs. Prompting as a discipline.</w:t>
            </w:r>
          </w:p>
        </w:tc>
        <w:tc>
          <w:tcPr>
            <w:tcW w:type="dxa" w:w="38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Prompt libraries, role-specific templates, and training as a productized service tier.</w:t>
            </w:r>
          </w:p>
        </w:tc>
      </w:tr>
      <w:tr>
        <w:trPr>
          <w:tblHeader w:val="false"/>
        </w:trP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Discernment</w:t>
            </w:r>
          </w:p>
        </w:tc>
        <w:tc>
          <w:tcPr>
            <w:tcW w:type="dxa" w:w="3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Evaluating AI output — accuracy, reasoning, hallucination, appropriateness. Quality control.</w:t>
            </w:r>
          </w:p>
        </w:tc>
        <w:tc>
          <w:tcPr>
            <w:tcW w:type="dxa" w:w="38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QA/review processes, human-in-the-loop thresholds, output comparison practices clients follow.</w:t>
            </w:r>
          </w:p>
        </w:tc>
      </w:tr>
      <w:tr>
        <w:trPr>
          <w:tblHeader w:val="false"/>
        </w:trPr>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w:t>
            </w:r>
          </w:p>
        </w:tc>
        <w:tc>
          <w:tcPr>
            <w:tcW w:type="dxa" w:w="38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Responsible, ethical, accountable use. Policy, transparency, audit trail, privacy, bias.</w:t>
            </w:r>
          </w:p>
        </w:tc>
        <w:tc>
          <w:tcPr>
            <w:tcW w:type="dxa" w:w="38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Usage Policy, DLP, audit logs, vendor/model risk review, compliance mapping (HIPAA/PCI/SOC 2).</w:t>
            </w:r>
          </w:p>
        </w:tc>
      </w:tr>
    </w:tbl>
    <w:p>
      <w:pPr>
        <w:pStyle w:val="Heading1"/>
      </w:pPr>
      <w:r>
        <w:t xml:space="preserve">3. AI for Katana the Business (Internal)</w:t>
      </w:r>
    </w:p>
    <w:p>
      <w:pPr>
        <w:spacing w:after="80" w:before="80"/>
      </w:pPr>
      <w:r>
        <w:t xml:space="preserve">Katana needs to eat its own cooking. Before selling an AI Readiness Assessment to a client, Katana’s own work has to run through the 4D discipline. This is where trust and case studies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D</w:t>
            </w:r>
          </w:p>
        </w:tc>
        <w:tc>
          <w:tcPr>
            <w:tcW w:type="dxa" w:w="7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Katana does internally</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w:t>
            </w:r>
          </w:p>
        </w:tc>
        <w:tc>
          <w:tcPr>
            <w:tcW w:type="dxa" w:w="7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Proposal drafting, ticket triage, runbook generation, client reporting, KB article drafting, pre-sales research, documentation, after-action write-ups.</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Description</w:t>
            </w:r>
          </w:p>
        </w:tc>
        <w:tc>
          <w:tcPr>
            <w:tcW w:type="dxa" w:w="7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Prompt library and role templates for every recurring engineer/BD task. Shared across the team so prompts are version-controlled, not folklore.</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Discernment</w:t>
            </w:r>
          </w:p>
        </w:tc>
        <w:tc>
          <w:tcPr>
            <w:tcW w:type="dxa" w:w="7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Engineer sign-off before AI output touches a client. Regression checks against known-good examples. Periodic model-comparison spot checks.</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w:t>
            </w:r>
          </w:p>
        </w:tc>
        <w:tc>
          <w:tcPr>
            <w:tcW w:type="dxa" w:w="7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Internal AI Usage Policy: what client data can be sent, which tools are approved, tenant isolation, named owner for vendor review.</w:t>
            </w:r>
          </w:p>
        </w:tc>
      </w:tr>
    </w:tbl>
    <w:p>
      <w:pPr>
        <w:shd w:fill="E8F4F8" w:val="clear"/>
        <w:spacing w:after="160" w:before="160"/>
        <w:ind w:left="240" w:right="240"/>
      </w:pPr>
      <w:r>
        <w:rPr>
          <w:b/>
          <w:bCs/>
          <w:color w:val="1F4E79"/>
        </w:rPr>
        <w:t xml:space="preserve">Practical implication: </w:t>
      </w:r>
      <w:r>
        <w:t xml:space="preserve">Katana should stand up an internal AI Usage Policy in the first 30 days. It becomes the reference document for client-facing policies. Template once, reuse forever.</w:t>
      </w:r>
    </w:p>
    <w:p>
      <w:pPr>
        <w:pStyle w:val="Heading1"/>
      </w:pPr>
      <w:r>
        <w:t xml:space="preserve">4. AI for Katana’s Clients (External)</w:t>
      </w:r>
    </w:p>
    <w:p>
      <w:pPr>
        <w:spacing w:after="80" w:before="80"/>
      </w:pPr>
      <w:r>
        <w:t xml:space="preserve">This is the offer. Each D becomes a deliverable or a service tier the client can buy, not a slide in a pitch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D</w:t>
            </w:r>
          </w:p>
        </w:tc>
        <w:tc>
          <w:tcPr>
            <w:tcW w:type="dxa" w:w="7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Katana delivers as a service</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w:t>
            </w:r>
          </w:p>
        </w:tc>
        <w:tc>
          <w:tcPr>
            <w:tcW w:type="dxa" w:w="7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Readiness Assessment — 2-week engagement, scored report, roadmap that names the tasks worth handing to AI first.</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Description</w:t>
            </w:r>
          </w:p>
        </w:tc>
        <w:tc>
          <w:tcPr>
            <w:tcW w:type="dxa" w:w="7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Role-specific prompt libraries and training. Packaged as a repeatable service tier, not bespoke every time.</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Discernment</w:t>
            </w:r>
          </w:p>
        </w:tc>
        <w:tc>
          <w:tcPr>
            <w:tcW w:type="dxa" w:w="7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Governance practices for client teams: QA checklists, comparison workflows, escalation rules for "did the AI get this right?"</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w:t>
            </w:r>
          </w:p>
        </w:tc>
        <w:tc>
          <w:tcPr>
            <w:tcW w:type="dxa" w:w="7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Usage Policy drafted for the client. DLP controls. Audit trail. Compliance mapping. Quarterly review cadence.</w:t>
            </w:r>
          </w:p>
        </w:tc>
      </w:tr>
    </w:tbl>
    <w:p>
      <w:pPr>
        <w:pStyle w:val="Heading2"/>
      </w:pPr>
      <w:r>
        <w:t xml:space="preserve">4.1 The AI Readiness Assessment — the first sellable offer</w:t>
      </w:r>
    </w:p>
    <w:p>
      <w:pPr>
        <w:spacing w:after="80" w:before="80"/>
      </w:pPr>
      <w:r>
        <w:t xml:space="preserve">A fixed-scope, fixed-price engagement Katana can run on every new client. Two weeks, delivered output: a 4D-scored report plus a 90-day roadmap. The scoring rubric itself is the 4D framework.</w:t>
      </w:r>
    </w:p>
    <w:p>
      <w:pPr>
        <w:pStyle w:val="ListParagraph"/>
        <w:numPr>
          <w:ilvl w:val="0"/>
          <w:numId w:val="2"/>
        </w:numPr>
        <w:spacing w:after="40" w:before="40"/>
      </w:pPr>
      <w:r>
        <w:t xml:space="preserve">Delegation score — which roles and tasks are AI-ready, which are not, and why.</w:t>
      </w:r>
    </w:p>
    <w:p>
      <w:pPr>
        <w:pStyle w:val="ListParagraph"/>
        <w:numPr>
          <w:ilvl w:val="0"/>
          <w:numId w:val="2"/>
        </w:numPr>
        <w:spacing w:after="40" w:before="40"/>
      </w:pPr>
      <w:r>
        <w:t xml:space="preserve">Description score — does the client have prompt discipline, role templates, shared practices? Gaps named.</w:t>
      </w:r>
    </w:p>
    <w:p>
      <w:pPr>
        <w:pStyle w:val="ListParagraph"/>
        <w:numPr>
          <w:ilvl w:val="0"/>
          <w:numId w:val="2"/>
        </w:numPr>
        <w:spacing w:after="40" w:before="40"/>
      </w:pPr>
      <w:r>
        <w:t xml:space="preserve">Discernment score — what quality checks exist on AI output today? What has to be added?</w:t>
      </w:r>
    </w:p>
    <w:p>
      <w:pPr>
        <w:pStyle w:val="ListParagraph"/>
        <w:numPr>
          <w:ilvl w:val="0"/>
          <w:numId w:val="2"/>
        </w:numPr>
        <w:spacing w:after="40" w:before="40"/>
      </w:pPr>
      <w:r>
        <w:t xml:space="preserve">Diligence score — AI Usage Policy, DLP, audit trail, vendor review, compliance exposure. Gaps named.</w:t>
      </w:r>
    </w:p>
    <w:p>
      <w:pPr>
        <w:spacing w:after="80" w:before="80"/>
      </w:pPr>
      <w:r>
        <w:t xml:space="preserve">The report ends with a priced roadmap: pilot rollout, training, governance program, ongoing managed AI services. This is the wedge into larger managed services engagements.</w:t>
      </w:r>
    </w:p>
    <w:p>
      <w:pPr>
        <w:pStyle w:val="Heading1"/>
      </w:pPr>
      <w:r>
        <w:t xml:space="preserve">5. Client Onboarding — Tech-Savviness Tiers</w:t>
      </w:r>
    </w:p>
    <w:p>
      <w:pPr>
        <w:spacing w:after="80" w:before="80"/>
      </w:pPr>
      <w:r>
        <w:t xml:space="preserve">Katana’s clients will not be one thing. A three-tier onboarding model lets Katana match the depth of engagement to where the client actually is, rather than forcing a one-size-fits-all AI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Tier</w:t>
            </w:r>
          </w:p>
        </w:tc>
        <w:tc>
          <w:tcPr>
            <w:tcW w:type="dxa" w:w="2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Who they are</w:t>
            </w:r>
          </w:p>
        </w:tc>
        <w:tc>
          <w:tcPr>
            <w:tcW w:type="dxa" w:w="2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First engagement with Katana</w:t>
            </w:r>
          </w:p>
        </w:tc>
        <w:tc>
          <w:tcPr>
            <w:tcW w:type="dxa" w:w="2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Tool posture</w:t>
            </w:r>
          </w:p>
        </w:tc>
      </w:tr>
      <w:tr>
        <w:trPr>
          <w:tblHeader w:val="false"/>
        </w:trP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Tier 1 — AI-naive SMB</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10–50 employees. Owner or office manager runs IT. Little to no AI policy. Scared of getting it wrong.</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Policy + onboarding: AI Usage Policy, Copilot Chat or Claude for Business enabled, 60-minute team training.</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Copilot Chat (free with Entra) OR Claude for Business — one tool, one policy, fast wins.</w:t>
            </w:r>
          </w:p>
        </w:tc>
      </w:tr>
      <w:tr>
        <w:trPr>
          <w:tblHeader w:val="false"/>
        </w:trPr>
        <w:tc>
          <w:tcPr>
            <w:tcW w:type="dxa" w:w="1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Tier 2 — Mixed</w:t>
            </w:r>
          </w:p>
        </w:tc>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SMB-to-mid-market. Some early AI experimenters. One or two use cases already live, unsupervised.</w:t>
            </w:r>
          </w:p>
        </w:tc>
        <w:tc>
          <w:tcPr>
            <w:tcW w:type="dxa" w:w="26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Readiness Assessment + 2–3 productized workflows (doc review, inbox triage, meeting summaries). Training per role.</w:t>
            </w:r>
          </w:p>
        </w:tc>
        <w:tc>
          <w:tcPr>
            <w:tcW w:type="dxa" w:w="25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Claude for Business OR Microsoft 365 Copilot based on M365 tier. Possibly both.</w:t>
            </w:r>
          </w:p>
        </w:tc>
      </w:tr>
      <w:tr>
        <w:trPr>
          <w:tblHeader w:val="false"/>
        </w:trP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Tier 3 — Tech-savvy mid-market</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50–500 employees. Internal IT lead. Compliance posture matters. Pipeline of AI ideas.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Full 4D engagement: Delegation map, Description library, Discernment cadence, Diligence program. Agents/integrations.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Claude Enterprise primary, Copilot for M365 workflows, Copilot Studio or custom agents where integration matters.</w:t>
            </w:r>
          </w:p>
        </w:tc>
      </w:tr>
    </w:tbl>
    <w:p>
      <w:pPr>
        <w:shd w:fill="E8F4F8" w:val="clear"/>
        <w:spacing w:after="160" w:before="160"/>
        <w:ind w:left="240" w:right="240"/>
      </w:pPr>
      <w:r>
        <w:rPr>
          <w:b/>
          <w:bCs/>
          <w:color w:val="1F4E79"/>
        </w:rPr>
        <w:t xml:space="preserve">Tier signal to listen for: </w:t>
      </w:r>
      <w:r>
        <w:t xml:space="preserve">If a client says "we have not written anything down yet" about AI — Tier 1. If they say "my team is using ChatGPT and I don’t know what they are pasting in" — Tier 2. If they say "we need governance before we expand this across the org" — Tier 3.</w:t>
      </w:r>
    </w:p>
    <w:p>
      <w:pPr>
        <w:pStyle w:val="Heading1"/>
      </w:pPr>
      <w:r>
        <w:t xml:space="preserve">6. Safety Constraints — A Deeper Cut at Diligence</w:t>
      </w:r>
    </w:p>
    <w:p>
      <w:pPr>
        <w:spacing w:after="80" w:before="80"/>
      </w:pPr>
      <w:r>
        <w:t xml:space="preserve">Diligence is the section Drew’s prospects are already asking about — safeguards, governance, "what happens to our data." Below is the concrete checklist Katana should be prepared to stand up for every tier of client, scaled to their posture.</w:t>
      </w:r>
    </w:p>
    <w:p>
      <w:pPr>
        <w:spacing w:after="40" w:before="120"/>
      </w:pPr>
      <w:r>
        <w:rPr>
          <w:b/>
          <w:bCs/>
        </w:rPr>
        <w:t xml:space="preserve">Data handling</w:t>
      </w:r>
    </w:p>
    <w:p>
      <w:pPr>
        <w:pStyle w:val="ListParagraph"/>
        <w:numPr>
          <w:ilvl w:val="0"/>
          <w:numId w:val="2"/>
        </w:numPr>
        <w:spacing w:after="40" w:before="40"/>
      </w:pPr>
      <w:r>
        <w:t xml:space="preserve">Data classification map — which client data types are allowed in which AI tool, with examples.</w:t>
      </w:r>
    </w:p>
    <w:p>
      <w:pPr>
        <w:pStyle w:val="ListParagraph"/>
        <w:numPr>
          <w:ilvl w:val="0"/>
          <w:numId w:val="2"/>
        </w:numPr>
        <w:spacing w:after="40" w:before="40"/>
      </w:pPr>
      <w:r>
        <w:t xml:space="preserve">DLP controls — SharePoint/OneDrive sensitivity labels, Copilot respecting them; Claude Enterprise with zero-retention for sensitive tiers.</w:t>
      </w:r>
    </w:p>
    <w:p>
      <w:pPr>
        <w:pStyle w:val="ListParagraph"/>
        <w:numPr>
          <w:ilvl w:val="0"/>
          <w:numId w:val="2"/>
        </w:numPr>
        <w:spacing w:after="40" w:before="40"/>
      </w:pPr>
      <w:r>
        <w:t xml:space="preserve">PII / PHI handling — explicit carve-outs for healthcare, legal, finance. De-identification requirements.</w:t>
      </w:r>
    </w:p>
    <w:p>
      <w:pPr>
        <w:spacing w:after="40" w:before="120"/>
      </w:pPr>
      <w:r>
        <w:rPr>
          <w:b/>
          <w:bCs/>
        </w:rPr>
        <w:t xml:space="preserve">Policy and accountability</w:t>
      </w:r>
    </w:p>
    <w:p>
      <w:pPr>
        <w:pStyle w:val="ListParagraph"/>
        <w:numPr>
          <w:ilvl w:val="0"/>
          <w:numId w:val="2"/>
        </w:numPr>
        <w:spacing w:after="40" w:before="40"/>
      </w:pPr>
      <w:r>
        <w:t xml:space="preserve">Written AI Usage Policy at every client — template provided by Katana, adapted per client.</w:t>
      </w:r>
    </w:p>
    <w:p>
      <w:pPr>
        <w:pStyle w:val="ListParagraph"/>
        <w:numPr>
          <w:ilvl w:val="0"/>
          <w:numId w:val="2"/>
        </w:numPr>
        <w:spacing w:after="40" w:before="40"/>
      </w:pPr>
      <w:r>
        <w:t xml:space="preserve">Named AI owner at the client — one human is accountable for policy exceptions and vendor changes.</w:t>
      </w:r>
    </w:p>
    <w:p>
      <w:pPr>
        <w:pStyle w:val="ListParagraph"/>
        <w:numPr>
          <w:ilvl w:val="0"/>
          <w:numId w:val="2"/>
        </w:numPr>
        <w:spacing w:after="40" w:before="40"/>
      </w:pPr>
      <w:r>
        <w:t xml:space="preserve">Acceptable-use language — what employees can and cannot do. Enforceable, not aspirational.</w:t>
      </w:r>
    </w:p>
    <w:p>
      <w:pPr>
        <w:spacing w:after="40" w:before="120"/>
      </w:pPr>
      <w:r>
        <w:rPr>
          <w:b/>
          <w:bCs/>
        </w:rPr>
        <w:t xml:space="preserve">Technical controls</w:t>
      </w:r>
    </w:p>
    <w:p>
      <w:pPr>
        <w:pStyle w:val="ListParagraph"/>
        <w:numPr>
          <w:ilvl w:val="0"/>
          <w:numId w:val="2"/>
        </w:numPr>
        <w:spacing w:after="40" w:before="40"/>
      </w:pPr>
      <w:r>
        <w:t xml:space="preserve">SSO + SCIM on every tenant — both Claude Enterprise and Copilot support this; use it.</w:t>
      </w:r>
    </w:p>
    <w:p>
      <w:pPr>
        <w:pStyle w:val="ListParagraph"/>
        <w:numPr>
          <w:ilvl w:val="0"/>
          <w:numId w:val="2"/>
        </w:numPr>
        <w:spacing w:after="40" w:before="40"/>
      </w:pPr>
      <w:r>
        <w:t xml:space="preserve">Audit trail and log retention — who ran what prompt, when, on what data. Claude Enterprise and M365 both provide this.</w:t>
      </w:r>
    </w:p>
    <w:p>
      <w:pPr>
        <w:pStyle w:val="ListParagraph"/>
        <w:numPr>
          <w:ilvl w:val="0"/>
          <w:numId w:val="2"/>
        </w:numPr>
        <w:spacing w:after="40" w:before="40"/>
      </w:pPr>
      <w:r>
        <w:t xml:space="preserve">Model/vendor risk review — a quarterly cadence. Katana runs it, client signs off.</w:t>
      </w:r>
    </w:p>
    <w:p>
      <w:pPr>
        <w:spacing w:after="40" w:before="120"/>
      </w:pPr>
      <w:r>
        <w:rPr>
          <w:b/>
          <w:bCs/>
        </w:rPr>
        <w:t xml:space="preserve">Threat model</w:t>
      </w:r>
    </w:p>
    <w:p>
      <w:pPr>
        <w:pStyle w:val="ListParagraph"/>
        <w:numPr>
          <w:ilvl w:val="0"/>
          <w:numId w:val="2"/>
        </w:numPr>
        <w:spacing w:after="40" w:before="40"/>
      </w:pPr>
      <w:r>
        <w:t xml:space="preserve">Prompt injection — especially in any client-facing or email-ingesting AI workflow. Awareness + architectural controls.</w:t>
      </w:r>
    </w:p>
    <w:p>
      <w:pPr>
        <w:pStyle w:val="ListParagraph"/>
        <w:numPr>
          <w:ilvl w:val="0"/>
          <w:numId w:val="2"/>
        </w:numPr>
        <w:spacing w:after="40" w:before="40"/>
      </w:pPr>
      <w:r>
        <w:t xml:space="preserve">Jailbreak resilience — not a client concern but a vendor-selection input.</w:t>
      </w:r>
    </w:p>
    <w:p>
      <w:pPr>
        <w:pStyle w:val="ListParagraph"/>
        <w:numPr>
          <w:ilvl w:val="0"/>
          <w:numId w:val="2"/>
        </w:numPr>
        <w:spacing w:after="40" w:before="40"/>
      </w:pPr>
      <w:r>
        <w:t xml:space="preserve">IP / copyright exposure — what the client owns, what the vendor disclaims, what Katana indemnifies.</w:t>
      </w:r>
    </w:p>
    <w:p>
      <w:pPr>
        <w:spacing w:after="40" w:before="120"/>
      </w:pPr>
      <w:r>
        <w:rPr>
          <w:b/>
          <w:bCs/>
        </w:rPr>
        <w:t xml:space="preserve">Human-in-the-loop thresholds</w:t>
      </w:r>
    </w:p>
    <w:p>
      <w:pPr>
        <w:pStyle w:val="ListParagraph"/>
        <w:numPr>
          <w:ilvl w:val="0"/>
          <w:numId w:val="2"/>
        </w:numPr>
        <w:spacing w:after="40" w:before="40"/>
      </w:pPr>
      <w:r>
        <w:t xml:space="preserve">What decisions require a human review before action — this is the practical translation of Discernment.</w:t>
      </w:r>
    </w:p>
    <w:p>
      <w:pPr>
        <w:pStyle w:val="ListParagraph"/>
        <w:numPr>
          <w:ilvl w:val="0"/>
          <w:numId w:val="2"/>
        </w:numPr>
        <w:spacing w:after="40" w:before="40"/>
      </w:pPr>
      <w:r>
        <w:t xml:space="preserve">Client-specific: financial, legal, clinical, or HR-sensitive outputs never ship without a human.</w:t>
      </w:r>
    </w:p>
    <w:p>
      <w:pPr>
        <w:pStyle w:val="Heading1"/>
      </w:pPr>
      <w:r>
        <w:t xml:space="preserve">7. Stack Comparison — Claude vs. Microsoft Copilot</w:t>
      </w:r>
    </w:p>
    <w:p>
      <w:pPr>
        <w:spacing w:after="80" w:before="80"/>
      </w:pPr>
      <w:r>
        <w:t xml:space="preserve">Drew and his partners work in Azure. Copilot is the instinctive choice. Mike’s bias is Claude. The honest answer for Katana is "both, for different jobs" — below is the matrix that supports that position with current (2026) facts. Keep this handy in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Dimension</w:t>
            </w:r>
          </w:p>
        </w:tc>
        <w:tc>
          <w:tcPr>
            <w:tcW w:type="dxa" w:w="37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Claude for Business / Enterprise</w:t>
            </w:r>
          </w:p>
        </w:tc>
        <w:tc>
          <w:tcPr>
            <w:tcW w:type="dxa" w:w="37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Microsoft 365 Copilot / Copilot Studio</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Core strength</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Reasoning, long-context work, safety alignment, code, structured analysis. Strong on "hard thinking" tasks.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Native integration with Word, Excel, PowerPoint, Outlook, Teams. Microsoft Graph search across tenant data. Productivity at volume.</w:t>
            </w:r>
          </w:p>
        </w:tc>
      </w:tr>
      <w:tr>
        <w:trPr>
          <w:tblHeader w:val="false"/>
        </w:trPr>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Azure / Microsoft fit</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Ecosystem-agnostic. SSO integrates with Entra ID (Azure AD). Connects via API and Model Context Protocol (MCP) to any system.</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Native to Azure / M365. Requires qualifying M365 license. Copilot Studio included with M365 Copilot seats.</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Governance &amp; controls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SSO (SAML 2.0 / OIDC), SCIM, audit logs, custom data retention, role-based permissions. Zero-retention posture on input/output.</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Purview, DLP, sensitivity labels, eDiscovery, Entra-based permissions. Deep tenant-level compliance tooling.</w:t>
            </w:r>
          </w:p>
        </w:tc>
      </w:tr>
      <w:tr>
        <w:trPr>
          <w:tblHeader w:val="false"/>
        </w:trPr>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Agent building</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Projects (shared context), Claude Code for technical work, MCP for tool integration, API for anything custom.</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Copilot Studio included — low-code agents published internally or externally. Native to the Microsoft agent story.</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Pricing signal (public)</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Team ~$30/user/month (5-seat min). Enterprise ~$60/seat (70-seat min). API usage billed separately on Enterprise.</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M365 Copilot $30/user/month flat on top of qualifying M365 license. Copilot Business $18–21/user/month. Copilot Chat free with Entra.</w:t>
            </w:r>
          </w:p>
        </w:tc>
      </w:tr>
      <w:tr>
        <w:trPr>
          <w:tblHeader w:val="false"/>
        </w:trPr>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Deployment friction</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Moderate. Separate product, separate sign-in unless SSO. Clean mental model — one app, one policy.</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Low if client is already on M365. Non-trivial data-readiness work (SharePoint/OneDrive hygiene) to get value out.</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MSP resale posture</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Reseller / partner programs exist; Katana can deliver enablement on top. Strong "we pick what’s best" positioning.</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Microsoft CSP channel; Katana can resell licenses and layer services. Easy billing integration with M365 clients.</w:t>
            </w:r>
          </w:p>
        </w:tc>
      </w:tr>
      <w:tr>
        <w:trPr>
          <w:tblHeader w:val="false"/>
        </w:trPr>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Data posture</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Anthropic zero-retention on API by default; enterprise controls over retention and training. Strong privacy story.</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Tenant-scoped. Enterprise Data Protection on Copilot. Trained and managed inside the Microsoft compliance boundary.</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Where it wins for Katana clients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Complex reasoning (contracts, analysis, code review), long documents, structured extraction, agents that cross systems, safety-sensitive verticals.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Day-to-day office productivity, meeting workflows, M365 document work, broad org-wide rollout at scale.</w:t>
            </w:r>
          </w:p>
        </w:tc>
      </w:tr>
      <w:tr>
        <w:trPr>
          <w:tblHeader w:val="false"/>
        </w:trPr>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Where it loses</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Less native to Office workflows. Deploying to non-technical SMB staff takes more training.</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Weaker on deep reasoning tasks. Value depends on clean M365 data. License lock-in to Microsoft.</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Strategic fact</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Microsoft spends ~$500M/year on Anthropic models in 2026 — Copilot Cowork is built on Claude. The lines blur.</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Copilot Cowork being built on Claude means choosing Copilot does not mean avoiding Anthropic.</w:t>
            </w:r>
          </w:p>
        </w:tc>
      </w:tr>
    </w:tbl>
    <w:p>
      <w:pPr>
        <w:shd w:fill="E8F4F8" w:val="clear"/>
        <w:spacing w:after="160" w:before="160"/>
        <w:ind w:left="240" w:right="240"/>
      </w:pPr>
      <w:r>
        <w:rPr>
          <w:b/>
          <w:bCs/>
          <w:color w:val="1F4E79"/>
        </w:rPr>
        <w:t xml:space="preserve">The one thing most people miss: </w:t>
      </w:r>
      <w:r>
        <w:t xml:space="preserve">Microsoft is now a top-tier Anthropic customer — reported ~$500M/year on Anthropic models — and Copilot Cowork is built on Claude. Choosing Copilot does not mean avoiding Claude. The strategic distinction is governance, deployment pattern, and cost structure, not "which model."</w:t>
      </w:r>
    </w:p>
    <w:p>
      <w:pPr>
        <w:pStyle w:val="Heading1"/>
      </w:pPr>
      <w:r>
        <w:t xml:space="preserve">8. Mike’s Recommended Position</w:t>
      </w:r>
    </w:p>
    <w:p>
      <w:pPr>
        <w:spacing w:after="40" w:before="120"/>
      </w:pPr>
      <w:r>
        <w:rPr>
          <w:b/>
          <w:bCs/>
        </w:rPr>
        <w:t xml:space="preserve">On the stack</w:t>
      </w:r>
    </w:p>
    <w:p>
      <w:pPr>
        <w:spacing w:after="80" w:before="80"/>
      </w:pPr>
      <w:r>
        <w:t xml:space="preserve">Lead with Claude for Business (Tier 1 and 2 SMB) and Claude Enterprise (Tier 3 mid-market) as Katana’s primary AI platform. Offer Microsoft 365 Copilot where the client’s value lives in Office workflows (Outlook, Teams, Excel). Don’t make it a religion — make it a per-task delegation decision, which is literally what the first D teaches.</w:t>
      </w:r>
    </w:p>
    <w:p>
      <w:pPr>
        <w:spacing w:after="40" w:before="120"/>
      </w:pPr>
      <w:r>
        <w:rPr>
          <w:b/>
          <w:bCs/>
        </w:rPr>
        <w:t xml:space="preserve">On productization</w:t>
      </w:r>
    </w:p>
    <w:p>
      <w:pPr>
        <w:spacing w:after="80" w:before="80"/>
      </w:pPr>
      <w:r>
        <w:t xml:space="preserve">Ship the AI Readiness Assessment as the first productized offer. Fixed scope, fixed price, two weeks. It is the wedge for every other AI service Katana will sell. Drew’s prospects who are asking about AI right now are exactly the ICP for this.</w:t>
      </w:r>
    </w:p>
    <w:p>
      <w:pPr>
        <w:spacing w:after="40" w:before="120"/>
      </w:pPr>
      <w:r>
        <w:rPr>
          <w:b/>
          <w:bCs/>
        </w:rPr>
        <w:t xml:space="preserve">On Katana’s internal operating model</w:t>
      </w:r>
    </w:p>
    <w:p>
      <w:pPr>
        <w:spacing w:after="80" w:before="80"/>
      </w:pPr>
      <w:r>
        <w:t xml:space="preserve">Stand up the internal AI Usage Policy in the first 30 days. Run Katana’s own work through the 4D loop before touching clients. This is what makes Katana different from a scrappy peer MSP that just resells Copilot.</w:t>
      </w:r>
    </w:p>
    <w:p>
      <w:pPr>
        <w:spacing w:after="40" w:before="120"/>
      </w:pPr>
      <w:r>
        <w:rPr>
          <w:b/>
          <w:bCs/>
        </w:rPr>
        <w:t xml:space="preserve">On pricing posture</w:t>
      </w:r>
    </w:p>
    <w:p>
      <w:pPr>
        <w:spacing w:after="80" w:before="80"/>
      </w:pPr>
      <w:r>
        <w:t xml:space="preserve">Don’t give AI enablement away as a bundled freebie. Price it as a managed service line — Essentials (no AI), Advanced (security + compliance), AI-Ready (everything plus 4D program, Readiness Assessment, quarterly governance). The AI-Ready tier is the revenue story.</w:t>
      </w:r>
    </w:p>
    <w:p>
      <w:pPr>
        <w:pStyle w:val="Heading1"/>
      </w:pPr>
      <w:r>
        <w:t xml:space="preserve">9. Questions to Probe in the Meeting</w:t>
      </w:r>
    </w:p>
    <w:p>
      <w:pPr>
        <w:spacing w:after="40" w:before="120"/>
      </w:pPr>
      <w:r>
        <w:rPr>
          <w:b/>
          <w:bCs/>
        </w:rPr>
        <w:t xml:space="preserve">About Katana’s shape</w:t>
      </w:r>
    </w:p>
    <w:p>
      <w:pPr>
        <w:pStyle w:val="ListParagraph"/>
        <w:numPr>
          <w:ilvl w:val="0"/>
          <w:numId w:val="2"/>
        </w:numPr>
        <w:spacing w:after="40" w:before="40"/>
      </w:pPr>
      <w:r>
        <w:t xml:space="preserve">Who owns the AI story on the founding team — technically and commercially?</w:t>
      </w:r>
    </w:p>
    <w:p>
      <w:pPr>
        <w:pStyle w:val="ListParagraph"/>
        <w:numPr>
          <w:ilvl w:val="0"/>
          <w:numId w:val="2"/>
        </w:numPr>
        <w:spacing w:after="40" w:before="40"/>
      </w:pPr>
      <w:r>
        <w:t xml:space="preserve">Are partners aligned on "we sell AI enablement" vs. "we resell tools"? Big strategy difference.</w:t>
      </w:r>
    </w:p>
    <w:p>
      <w:pPr>
        <w:pStyle w:val="ListParagraph"/>
        <w:numPr>
          <w:ilvl w:val="0"/>
          <w:numId w:val="2"/>
        </w:numPr>
        <w:spacing w:after="40" w:before="40"/>
      </w:pPr>
      <w:r>
        <w:t xml:space="preserve">Is Katana a Microsoft CSP? An Anthropic partner? Both? Neither yet?</w:t>
      </w:r>
    </w:p>
    <w:p>
      <w:pPr>
        <w:pStyle w:val="ListParagraph"/>
        <w:numPr>
          <w:ilvl w:val="0"/>
          <w:numId w:val="2"/>
        </w:numPr>
        <w:spacing w:after="40" w:before="40"/>
      </w:pPr>
      <w:r>
        <w:t xml:space="preserve">What is the geographic footprint — Southeast, regional, national?</w:t>
      </w:r>
    </w:p>
    <w:p>
      <w:pPr>
        <w:spacing w:after="40" w:before="120"/>
      </w:pPr>
      <w:r>
        <w:rPr>
          <w:b/>
          <w:bCs/>
        </w:rPr>
        <w:t xml:space="preserve">About the clients they already have a view on</w:t>
      </w:r>
    </w:p>
    <w:p>
      <w:pPr>
        <w:pStyle w:val="ListParagraph"/>
        <w:numPr>
          <w:ilvl w:val="0"/>
          <w:numId w:val="2"/>
        </w:numPr>
        <w:spacing w:after="40" w:before="40"/>
      </w:pPr>
      <w:r>
        <w:t xml:space="preserve">What M365 tiers do your first clients run on? E3, E5, Business Premium? This is the single biggest Copilot-vs-Claude input.</w:t>
      </w:r>
    </w:p>
    <w:p>
      <w:pPr>
        <w:pStyle w:val="ListParagraph"/>
        <w:numPr>
          <w:ilvl w:val="0"/>
          <w:numId w:val="2"/>
        </w:numPr>
        <w:spacing w:after="40" w:before="40"/>
      </w:pPr>
      <w:r>
        <w:t xml:space="preserve">Which verticals are you prioritizing first? Healthcare / legal / accounting each have different Diligence profiles.</w:t>
      </w:r>
    </w:p>
    <w:p>
      <w:pPr>
        <w:pStyle w:val="ListParagraph"/>
        <w:numPr>
          <w:ilvl w:val="0"/>
          <w:numId w:val="2"/>
        </w:numPr>
        <w:spacing w:after="40" w:before="40"/>
      </w:pPr>
      <w:r>
        <w:t xml:space="preserve">Anyone already paying for AI? What do they have? What’s broken?</w:t>
      </w:r>
    </w:p>
    <w:p>
      <w:pPr>
        <w:spacing w:after="40" w:before="120"/>
      </w:pPr>
      <w:r>
        <w:rPr>
          <w:b/>
          <w:bCs/>
        </w:rPr>
        <w:t xml:space="preserve">About the near-term</w:t>
      </w:r>
    </w:p>
    <w:p>
      <w:pPr>
        <w:pStyle w:val="ListParagraph"/>
        <w:numPr>
          <w:ilvl w:val="0"/>
          <w:numId w:val="2"/>
        </w:numPr>
        <w:spacing w:after="40" w:before="40"/>
      </w:pPr>
      <w:r>
        <w:t xml:space="preserve">Have you written Katana’s own AI Usage Policy yet?</w:t>
      </w:r>
    </w:p>
    <w:p>
      <w:pPr>
        <w:pStyle w:val="ListParagraph"/>
        <w:numPr>
          <w:ilvl w:val="0"/>
          <w:numId w:val="2"/>
        </w:numPr>
        <w:spacing w:after="40" w:before="40"/>
      </w:pPr>
      <w:r>
        <w:t xml:space="preserve">Do you want the AI component to be packaged as a tier, an a-la-carte service, or both?</w:t>
      </w:r>
    </w:p>
    <w:p>
      <w:pPr>
        <w:pStyle w:val="ListParagraph"/>
        <w:numPr>
          <w:ilvl w:val="0"/>
          <w:numId w:val="2"/>
        </w:numPr>
        <w:spacing w:after="40" w:before="40"/>
      </w:pPr>
      <w:r>
        <w:t xml:space="preserve">When do you want to sell the first AI Readiness Assessment? What’s the first name on the list?</w:t>
      </w:r>
    </w:p>
    <w:p>
      <w:pPr>
        <w:pStyle w:val="Heading1"/>
      </w:pPr>
      <w:r>
        <w:t xml:space="preserve">10. What We Need From the Meeting to Produce v2</w:t>
      </w:r>
    </w:p>
    <w:p>
      <w:pPr>
        <w:spacing w:after="80" w:before="80"/>
      </w:pPr>
      <w:r>
        <w:t xml:space="preserve">Three answers turn this v1 briefing into a concrete Katana AI program:</w:t>
      </w:r>
    </w:p>
    <w:p>
      <w:pPr>
        <w:pStyle w:val="ListParagraph"/>
        <w:numPr>
          <w:ilvl w:val="0"/>
          <w:numId w:val="2"/>
        </w:numPr>
        <w:spacing w:after="40" w:before="40"/>
      </w:pPr>
      <w:r>
        <w:t xml:space="preserve">Vertical focus — drives Diligence profile, model selection, and policy templates.</w:t>
      </w:r>
    </w:p>
    <w:p>
      <w:pPr>
        <w:pStyle w:val="ListParagraph"/>
        <w:numPr>
          <w:ilvl w:val="0"/>
          <w:numId w:val="2"/>
        </w:numPr>
        <w:spacing w:after="40" w:before="40"/>
      </w:pPr>
      <w:r>
        <w:t xml:space="preserve">License posture of Katana’s first clients — drives the Copilot-vs-Claude split per tier.</w:t>
      </w:r>
    </w:p>
    <w:p>
      <w:pPr>
        <w:pStyle w:val="ListParagraph"/>
        <w:numPr>
          <w:ilvl w:val="0"/>
          <w:numId w:val="2"/>
        </w:numPr>
        <w:spacing w:after="40" w:before="40"/>
      </w:pPr>
      <w:r>
        <w:t xml:space="preserve">Whether Katana commits to the AI Readiness Assessment as the wedge offer — drives everything else (pricing, training investment, marketing story).</w:t>
      </w:r>
    </w:p>
    <w:p>
      <w:pPr>
        <w:spacing w:after="80" w:before="80"/>
      </w:pPr>
      <w:r>
        <w:t xml:space="preserve">Bring those back and v2 becomes: (a) a priced service catalog with the AI-Ready tier defined, (b) the Readiness Assessment template, (c) a first-cut AI Usage Policy Katana can hand to clients.</w:t>
      </w:r>
    </w:p>
    <w:p>
      <w:pPr>
        <w:spacing w:after="0" w:before="400"/>
      </w:pPr>
    </w:p>
    <w:p>
      <w:pPr>
        <w:pBdr>
          <w:top w:val="single" w:color="CCCCCC" w:sz="4" w:space="4"/>
        </w:pBdr>
        <w:spacing w:after="60" w:before="200"/>
      </w:pPr>
      <w:r>
        <w:rPr>
          <w:i/>
          <w:iCs/>
          <w:color w:val="595959"/>
          <w:sz w:val="18"/>
          <w:szCs w:val="18"/>
        </w:rPr>
        <w:t xml:space="preserve">Sources: Anthropic AI Fluency Framework (anthropic.com/ai-fluency); Claude for Enterprise docs (claude.com/pricing/enterprise, claude.com/blog/claude-for-enterprise); Microsoft 365 Copilot pricing pages (microsoft.com/en-us/microsoft-365-copilot/pricing); 2026 enterprise comparisons (IntuitionLabs, SelectHub, EpicIT). See Katana/Research/ for citations on Anchor + Drew.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Component Briefing — Katana</dc:title>
  <dc:creator>Mike / Fructify LLC</dc:creator>
  <dc:description>Internal prep for Mike’s conversation with Drew + partners. 4D-framework-centered.</dc:description>
  <cp:lastModifiedBy>Un-named</cp:lastModifiedBy>
  <cp:revision>1</cp:revision>
  <dcterms:created xsi:type="dcterms:W3CDTF">2026-04-21T14:46:06.034Z</dcterms:created>
  <dcterms:modified xsi:type="dcterms:W3CDTF">2026-04-21T14:46:06.035Z</dcterms:modified>
</cp:coreProperties>
</file>

<file path=docProps/custom.xml><?xml version="1.0" encoding="utf-8"?>
<Properties xmlns="http://schemas.openxmlformats.org/officeDocument/2006/custom-properties" xmlns:vt="http://schemas.openxmlformats.org/officeDocument/2006/docPropsVTypes"/>
</file>