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b/>
          <w:bCs/>
        </w:rPr>
        <w:t xml:space="preserve">AI for Katana’s Clients</w:t>
      </w:r>
    </w:p>
    <w:p>
      <w:pPr>
        <w:spacing w:after="60" w:before="0"/>
      </w:pPr>
      <w:r>
        <w:rPr>
          <w:i/>
          <w:iCs/>
          <w:color w:val="595959"/>
          <w:sz w:val="24"/>
          <w:szCs w:val="24"/>
        </w:rPr>
        <w:t xml:space="preserve">A managed-IT playbook — client questions, Katana’s answers, and the offering behind them</w:t>
      </w:r>
    </w:p>
    <w:p>
      <w:pPr>
        <w:pBdr>
          <w:bottom w:val="single" w:color="2E75B6" w:sz="8" w:space="6"/>
        </w:pBdr>
        <w:tabs>
          <w:tab w:val="right" w:pos="9360"/>
        </w:tabs>
        <w:spacing w:after="400" w:before="0"/>
      </w:pPr>
      <w:r>
        <w:rPr>
          <w:color w:val="595959"/>
        </w:rPr>
        <w:t xml:space="preserve">Prepared by Mike / Fructify LLC  </w:t>
      </w:r>
      <w:r>
        <w:rPr>
          <w:color w:val="595959"/>
        </w:rPr>
        <w:t xml:space="preserve">	v3 — 2026-04-21</w:t>
      </w:r>
    </w:p>
    <w:p>
      <w:pPr>
        <w:pStyle w:val="Heading1"/>
      </w:pPr>
      <w:r>
        <w:t xml:space="preserve">1. What This Document Is</w:t>
      </w:r>
    </w:p>
    <w:p>
      <w:pPr>
        <w:spacing w:after="80" w:before="80"/>
      </w:pPr>
      <w:r>
        <w:t xml:space="preserve">Katana runs a managed-IT practice with the same service catalog as Anchor Network Solutions — managed IT, cybersecurity, cloud, vCIO, BCDR, VoIP, helpdesk, endpoint management. Clients are now asking for AI, and Katana does not yet have an AI component in the catalog. Drew and partners want to know, from someone who lives in this space, what that component should look like.</w:t>
      </w:r>
    </w:p>
    <w:p>
      <w:pPr>
        <w:spacing w:after="80" w:before="80"/>
      </w:pPr>
      <w:r>
        <w:t xml:space="preserve">This document answers three questions at once. First, what will Katana’s clients ask about AI — and what are the right answers? Second, what should Katana actually offer them as a service? Third, what does Drew need to know behind the scenes to price, sell, deliver, and stand behind those answers?</w:t>
      </w:r>
    </w:p>
    <w:p>
      <w:pPr>
        <w:spacing w:after="80" w:before="80"/>
      </w:pPr>
      <w:r>
        <w:t xml:space="preserve">It is organized around Anthropic’s AI Fluency 4D framework (Delegation, Description, Discernment, Diligence) as the diligence spine, so every client question and every Katana deliverable traces back to one of four disciplines.</w:t>
      </w:r>
    </w:p>
    <w:p>
      <w:pPr>
        <w:shd w:fill="E8F4F8" w:val="clear"/>
        <w:spacing w:after="160" w:before="160"/>
        <w:ind w:left="240" w:right="240"/>
      </w:pPr>
      <w:r>
        <w:rPr>
          <w:b/>
          <w:bCs/>
          <w:color w:val="1F4E79"/>
        </w:rPr>
        <w:t xml:space="preserve">The core stance: </w:t>
      </w:r>
      <w:r>
        <w:t xml:space="preserve">Katana is not trying to become a new kind of company. Katana is adding AI as a managed-service line to an already-strong MSP catalog. The competitive edge is that Katana packages AI the way it packages everything else — assessed, set up, secured, trained, governed, and billed monthly.</w:t>
      </w:r>
    </w:p>
    <w:p>
      <w:pPr>
        <w:pStyle w:val="Heading1"/>
      </w:pPr>
      <w:r>
        <w:t xml:space="preserve">2. The Client Is in the Room — The Questions They Will Ask</w:t>
      </w:r>
    </w:p>
    <w:p>
      <w:pPr>
        <w:spacing w:after="80" w:before="80"/>
      </w:pPr>
      <w:r>
        <w:t xml:space="preserve">Below is the script Drew and his team will hear some version of on almost every first AI conversation, with the short answer Katana should give and the context Drew needs to know behind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80"/>
        <w:gridCol w:w="3280"/>
      </w:tblGrid>
      <w:tr>
        <w:trPr>
          <w:tblHeader/>
        </w:trPr>
        <w:tc>
          <w:tcPr>
            <w:tcW w:type="dxa" w:w="2600"/>
            <w:tcBorders>
              <w:top w:val="single" w:color="CCCCCC" w:sz="4"/>
              <w:left w:val="single" w:color="CCCCCC" w:sz="4"/>
              <w:bottom w:val="single" w:color="CCCCCC" w:sz="4"/>
              <w:right w:val="single" w:color="CCCCCC" w:sz="4"/>
            </w:tcBorders>
            <w:shd w:fill="D5E8F0" w:val="clear"/>
            <w:tcMar>
              <w:top w:type="dxa" w:w="100"/>
              <w:left w:type="dxa" w:w="140"/>
              <w:bottom w:type="dxa" w:w="100"/>
              <w:right w:type="dxa" w:w="140"/>
            </w:tcMar>
          </w:tcPr>
          <w:p>
            <w:r>
              <w:rPr>
                <w:b/>
                <w:bCs/>
              </w:rPr>
              <w:t xml:space="preserve">What the client will ask</w:t>
            </w:r>
          </w:p>
        </w:tc>
        <w:tc>
          <w:tcPr>
            <w:tcW w:type="dxa" w:w="3480"/>
            <w:tcBorders>
              <w:top w:val="single" w:color="CCCCCC" w:sz="4"/>
              <w:left w:val="single" w:color="CCCCCC" w:sz="4"/>
              <w:bottom w:val="single" w:color="CCCCCC" w:sz="4"/>
              <w:right w:val="single" w:color="CCCCCC" w:sz="4"/>
            </w:tcBorders>
            <w:shd w:fill="D5E8F0" w:val="clear"/>
            <w:tcMar>
              <w:top w:type="dxa" w:w="100"/>
              <w:left w:type="dxa" w:w="140"/>
              <w:bottom w:type="dxa" w:w="100"/>
              <w:right w:type="dxa" w:w="140"/>
            </w:tcMar>
          </w:tcPr>
          <w:p>
            <w:r>
              <w:rPr>
                <w:b/>
                <w:bCs/>
              </w:rPr>
              <w:t xml:space="preserve">The short answer Katana gives</w:t>
            </w:r>
          </w:p>
        </w:tc>
        <w:tc>
          <w:tcPr>
            <w:tcW w:type="dxa" w:w="3280"/>
            <w:tcBorders>
              <w:top w:val="single" w:color="CCCCCC" w:sz="4"/>
              <w:left w:val="single" w:color="CCCCCC" w:sz="4"/>
              <w:bottom w:val="single" w:color="CCCCCC" w:sz="4"/>
              <w:right w:val="single" w:color="CCCCCC" w:sz="4"/>
            </w:tcBorders>
            <w:shd w:fill="D5E8F0" w:val="clear"/>
            <w:tcMar>
              <w:top w:type="dxa" w:w="100"/>
              <w:left w:type="dxa" w:w="140"/>
              <w:bottom w:type="dxa" w:w="100"/>
              <w:right w:type="dxa" w:w="140"/>
            </w:tcMar>
          </w:tcPr>
          <w:p>
            <w:r>
              <w:rPr>
                <w:b/>
                <w:bCs/>
              </w:rPr>
              <w:t xml:space="preserve">What Drew needs to know behind the answer</w:t>
            </w:r>
          </w:p>
        </w:tc>
      </w:tr>
      <w:tr>
        <w:trPr>
          <w:tblHeader w:val="false"/>
        </w:trPr>
        <w:tc>
          <w:tcPr>
            <w:tcW w:type="dxa" w:w="26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Do you guys offer AI solutions?</w:t>
            </w:r>
          </w:p>
        </w:tc>
        <w:tc>
          <w:tcPr>
            <w:tcW w:type="dxa" w:w="348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Yes — as a managed service. We don’t just hand you ChatGPT. We assess, set up, train, secure, and govern it so it actually works for your business.</w:t>
            </w:r>
          </w:p>
        </w:tc>
        <w:tc>
          <w:tcPr>
            <w:tcW w:type="dxa" w:w="328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This positions AI as part of Katana’s managed IT offering — not a standalone product. Every AI engagement is a service, not a resold login.</w:t>
            </w:r>
          </w:p>
        </w:tc>
      </w:tr>
      <w:tr>
        <w:trPr>
          <w:tblHeader w:val="false"/>
        </w:trPr>
        <w:tc>
          <w:tcPr>
            <w:tcW w:type="dxa" w:w="2600"/>
            <w:tcBorders>
              <w:top w:val="single" w:color="CCCCCC" w:sz="4"/>
              <w:left w:val="single" w:color="CCCCCC" w:sz="4"/>
              <w:bottom w:val="single" w:color="CCCCCC" w:sz="4"/>
              <w:right w:val="single" w:color="CCCCCC" w:sz="4"/>
            </w:tcBorders>
            <w:shd w:fill="F5F8FA" w:val="clear"/>
            <w:tcMar>
              <w:top w:type="dxa" w:w="100"/>
              <w:left w:type="dxa" w:w="140"/>
              <w:bottom w:type="dxa" w:w="100"/>
              <w:right w:type="dxa" w:w="140"/>
            </w:tcMar>
          </w:tcPr>
          <w:p>
            <w:r>
              <w:rPr>
                <w:b w:val="false"/>
                <w:bCs w:val="false"/>
              </w:rPr>
              <w:t xml:space="preserve">What can AI actually do for my business?</w:t>
            </w:r>
          </w:p>
        </w:tc>
        <w:tc>
          <w:tcPr>
            <w:tcW w:type="dxa" w:w="3480"/>
            <w:tcBorders>
              <w:top w:val="single" w:color="CCCCCC" w:sz="4"/>
              <w:left w:val="single" w:color="CCCCCC" w:sz="4"/>
              <w:bottom w:val="single" w:color="CCCCCC" w:sz="4"/>
              <w:right w:val="single" w:color="CCCCCC" w:sz="4"/>
            </w:tcBorders>
            <w:shd w:fill="F5F8FA" w:val="clear"/>
            <w:tcMar>
              <w:top w:type="dxa" w:w="100"/>
              <w:left w:type="dxa" w:w="140"/>
              <w:bottom w:type="dxa" w:w="100"/>
              <w:right w:type="dxa" w:w="140"/>
            </w:tcMar>
          </w:tcPr>
          <w:p>
            <w:r>
              <w:rPr>
                <w:b w:val="false"/>
                <w:bCs w:val="false"/>
              </w:rPr>
              <w:t xml:space="preserve">Summarize documents, draft responses, pull insights out of data, automate repetitive tasks, answer employee questions about your own policies, help your customer service team, speed up proposals and reports, and a lot more — with safeguards.</w:t>
            </w:r>
          </w:p>
        </w:tc>
        <w:tc>
          <w:tcPr>
            <w:tcW w:type="dxa" w:w="3280"/>
            <w:tcBorders>
              <w:top w:val="single" w:color="CCCCCC" w:sz="4"/>
              <w:left w:val="single" w:color="CCCCCC" w:sz="4"/>
              <w:bottom w:val="single" w:color="CCCCCC" w:sz="4"/>
              <w:right w:val="single" w:color="CCCCCC" w:sz="4"/>
            </w:tcBorders>
            <w:shd w:fill="F5F8FA" w:val="clear"/>
            <w:tcMar>
              <w:top w:type="dxa" w:w="100"/>
              <w:left w:type="dxa" w:w="140"/>
              <w:bottom w:type="dxa" w:w="100"/>
              <w:right w:type="dxa" w:w="140"/>
            </w:tcMar>
          </w:tcPr>
          <w:p>
            <w:r>
              <w:rPr>
                <w:b w:val="false"/>
                <w:bCs w:val="false"/>
              </w:rPr>
              <w:t xml:space="preserve">See Section 3 for the full role- and vertical-specific use-case catalog. Lead with 2–3 wins that match the client’s role mix.</w:t>
            </w:r>
          </w:p>
        </w:tc>
      </w:tr>
      <w:tr>
        <w:trPr>
          <w:tblHeader w:val="false"/>
        </w:trPr>
        <w:tc>
          <w:tcPr>
            <w:tcW w:type="dxa" w:w="26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What should I worry about?</w:t>
            </w:r>
          </w:p>
        </w:tc>
        <w:tc>
          <w:tcPr>
            <w:tcW w:type="dxa" w:w="348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Three things: (1) what your employees paste in, (2) where your data lives, (3) whether the output is right. We handle all three as part of the engagement.</w:t>
            </w:r>
          </w:p>
        </w:tc>
        <w:tc>
          <w:tcPr>
            <w:tcW w:type="dxa" w:w="328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These map directly to the 4D framework: Diligence (policy + DLP), Diligence (data residency), Discernment (review practices).</w:t>
            </w:r>
          </w:p>
        </w:tc>
      </w:tr>
      <w:tr>
        <w:trPr>
          <w:tblHeader w:val="false"/>
        </w:trPr>
        <w:tc>
          <w:tcPr>
            <w:tcW w:type="dxa" w:w="2600"/>
            <w:tcBorders>
              <w:top w:val="single" w:color="CCCCCC" w:sz="4"/>
              <w:left w:val="single" w:color="CCCCCC" w:sz="4"/>
              <w:bottom w:val="single" w:color="CCCCCC" w:sz="4"/>
              <w:right w:val="single" w:color="CCCCCC" w:sz="4"/>
            </w:tcBorders>
            <w:shd w:fill="F5F8FA" w:val="clear"/>
            <w:tcMar>
              <w:top w:type="dxa" w:w="100"/>
              <w:left w:type="dxa" w:w="140"/>
              <w:bottom w:type="dxa" w:w="100"/>
              <w:right w:type="dxa" w:w="140"/>
            </w:tcMar>
          </w:tcPr>
          <w:p>
            <w:r>
              <w:rPr>
                <w:b w:val="false"/>
                <w:bCs w:val="false"/>
              </w:rPr>
              <w:t xml:space="preserve">What does it cost?</w:t>
            </w:r>
          </w:p>
        </w:tc>
        <w:tc>
          <w:tcPr>
            <w:tcW w:type="dxa" w:w="3480"/>
            <w:tcBorders>
              <w:top w:val="single" w:color="CCCCCC" w:sz="4"/>
              <w:left w:val="single" w:color="CCCCCC" w:sz="4"/>
              <w:bottom w:val="single" w:color="CCCCCC" w:sz="4"/>
              <w:right w:val="single" w:color="CCCCCC" w:sz="4"/>
            </w:tcBorders>
            <w:shd w:fill="F5F8FA" w:val="clear"/>
            <w:tcMar>
              <w:top w:type="dxa" w:w="100"/>
              <w:left w:type="dxa" w:w="140"/>
              <w:bottom w:type="dxa" w:w="100"/>
              <w:right w:type="dxa" w:w="140"/>
            </w:tcMar>
          </w:tcPr>
          <w:p>
            <w:r>
              <w:rPr>
                <w:b w:val="false"/>
                <w:bCs w:val="false"/>
              </w:rPr>
              <w:t xml:space="preserve">It depends on the plan and the number of seats. Business-tier AI runs roughly $20–$30/user/month per provider, Enterprise-tier runs $30–$60/user/month. On top of that is our managed service fee, which we scope per engagement.</w:t>
            </w:r>
          </w:p>
        </w:tc>
        <w:tc>
          <w:tcPr>
            <w:tcW w:type="dxa" w:w="3280"/>
            <w:tcBorders>
              <w:top w:val="single" w:color="CCCCCC" w:sz="4"/>
              <w:left w:val="single" w:color="CCCCCC" w:sz="4"/>
              <w:bottom w:val="single" w:color="CCCCCC" w:sz="4"/>
              <w:right w:val="single" w:color="CCCCCC" w:sz="4"/>
            </w:tcBorders>
            <w:shd w:fill="F5F8FA" w:val="clear"/>
            <w:tcMar>
              <w:top w:type="dxa" w:w="100"/>
              <w:left w:type="dxa" w:w="140"/>
              <w:bottom w:type="dxa" w:w="100"/>
              <w:right w:type="dxa" w:w="140"/>
            </w:tcMar>
          </w:tcPr>
          <w:p>
            <w:r>
              <w:rPr>
                <w:b w:val="false"/>
                <w:bCs w:val="false"/>
              </w:rPr>
              <w:t xml:space="preserve">Ranges as of April 2026. Always verify current pricing with the provider before quoting. Our fee is separate from the license fee.</w:t>
            </w:r>
          </w:p>
        </w:tc>
      </w:tr>
      <w:tr>
        <w:trPr>
          <w:tblHeader w:val="false"/>
        </w:trPr>
        <w:tc>
          <w:tcPr>
            <w:tcW w:type="dxa" w:w="26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Do you have enterprise licensing plans?</w:t>
            </w:r>
          </w:p>
        </w:tc>
        <w:tc>
          <w:tcPr>
            <w:tcW w:type="dxa" w:w="348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Yes. We can put you on enterprise-tier plans from Anthropic (Claude), Microsoft (Copilot), OpenAI (ChatGPT), or Google (Gemini) — with SSO, admin controls, audit logs, and proper data protection. We pick which one based on what you already run.</w:t>
            </w:r>
          </w:p>
        </w:tc>
        <w:tc>
          <w:tcPr>
            <w:tcW w:type="dxa" w:w="328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SSO via SAML/OIDC, SCIM for user provisioning, audit log retention, and zero-retention data options are the four things enterprise buyers care about. All four majors support them at the Enterprise tier.</w:t>
            </w:r>
          </w:p>
        </w:tc>
      </w:tr>
      <w:tr>
        <w:trPr>
          <w:tblHeader w:val="false"/>
        </w:trPr>
        <w:tc>
          <w:tcPr>
            <w:tcW w:type="dxa" w:w="2600"/>
            <w:tcBorders>
              <w:top w:val="single" w:color="CCCCCC" w:sz="4"/>
              <w:left w:val="single" w:color="CCCCCC" w:sz="4"/>
              <w:bottom w:val="single" w:color="CCCCCC" w:sz="4"/>
              <w:right w:val="single" w:color="CCCCCC" w:sz="4"/>
            </w:tcBorders>
            <w:shd w:fill="F5F8FA" w:val="clear"/>
            <w:tcMar>
              <w:top w:type="dxa" w:w="100"/>
              <w:left w:type="dxa" w:w="140"/>
              <w:bottom w:type="dxa" w:w="100"/>
              <w:right w:type="dxa" w:w="140"/>
            </w:tcMar>
          </w:tcPr>
          <w:p>
            <w:r>
              <w:rPr>
                <w:b w:val="false"/>
                <w:bCs w:val="false"/>
              </w:rPr>
              <w:t xml:space="preserve">Can everyone on my team use it at the same time?</w:t>
            </w:r>
          </w:p>
        </w:tc>
        <w:tc>
          <w:tcPr>
            <w:tcW w:type="dxa" w:w="3480"/>
            <w:tcBorders>
              <w:top w:val="single" w:color="CCCCCC" w:sz="4"/>
              <w:left w:val="single" w:color="CCCCCC" w:sz="4"/>
              <w:bottom w:val="single" w:color="CCCCCC" w:sz="4"/>
              <w:right w:val="single" w:color="CCCCCC" w:sz="4"/>
            </w:tcBorders>
            <w:shd w:fill="F5F8FA" w:val="clear"/>
            <w:tcMar>
              <w:top w:type="dxa" w:w="100"/>
              <w:left w:type="dxa" w:w="140"/>
              <w:bottom w:type="dxa" w:w="100"/>
              <w:right w:type="dxa" w:w="140"/>
            </w:tcMar>
          </w:tcPr>
          <w:p>
            <w:r>
              <w:rPr>
                <w:b w:val="false"/>
                <w:bCs w:val="false"/>
              </w:rPr>
              <w:t xml:space="preserve">Yes. Enterprise plans are built for concurrent use across your whole workforce. You pay per seat, not per session.</w:t>
            </w:r>
          </w:p>
        </w:tc>
        <w:tc>
          <w:tcPr>
            <w:tcW w:type="dxa" w:w="3280"/>
            <w:tcBorders>
              <w:top w:val="single" w:color="CCCCCC" w:sz="4"/>
              <w:left w:val="single" w:color="CCCCCC" w:sz="4"/>
              <w:bottom w:val="single" w:color="CCCCCC" w:sz="4"/>
              <w:right w:val="single" w:color="CCCCCC" w:sz="4"/>
            </w:tcBorders>
            <w:shd w:fill="F5F8FA" w:val="clear"/>
            <w:tcMar>
              <w:top w:type="dxa" w:w="100"/>
              <w:left w:type="dxa" w:w="140"/>
              <w:bottom w:type="dxa" w:w="100"/>
              <w:right w:type="dxa" w:w="140"/>
            </w:tcMar>
          </w:tcPr>
          <w:p>
            <w:r>
              <w:rPr>
                <w:b w:val="false"/>
                <w:bCs w:val="false"/>
              </w:rPr>
              <w:t xml:space="preserve">Seat licensing is standard. No concurrency caps at the Enterprise tier. Usage limits are typically per-user caps rather than org-wide bottlenecks.</w:t>
            </w:r>
          </w:p>
        </w:tc>
      </w:tr>
      <w:tr>
        <w:trPr>
          <w:tblHeader w:val="false"/>
        </w:trPr>
        <w:tc>
          <w:tcPr>
            <w:tcW w:type="dxa" w:w="26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Where will our documents and data live?</w:t>
            </w:r>
          </w:p>
        </w:tc>
        <w:tc>
          <w:tcPr>
            <w:tcW w:type="dxa" w:w="348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In the vendor’s secure cloud — with regional options (US, EU) and tenant isolation. On Enterprise tiers, your data is never used to train the AI model.</w:t>
            </w:r>
          </w:p>
        </w:tc>
        <w:tc>
          <w:tcPr>
            <w:tcW w:type="dxa" w:w="328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All major providers are cloud-hosted. On-prem AI exists but is expensive and usually not appropriate for SMB/mid-market. Zero-retention on Enterprise is standard.</w:t>
            </w:r>
          </w:p>
        </w:tc>
      </w:tr>
      <w:tr>
        <w:trPr>
          <w:tblHeader w:val="false"/>
        </w:trPr>
        <w:tc>
          <w:tcPr>
            <w:tcW w:type="dxa" w:w="2600"/>
            <w:tcBorders>
              <w:top w:val="single" w:color="CCCCCC" w:sz="4"/>
              <w:left w:val="single" w:color="CCCCCC" w:sz="4"/>
              <w:bottom w:val="single" w:color="CCCCCC" w:sz="4"/>
              <w:right w:val="single" w:color="CCCCCC" w:sz="4"/>
            </w:tcBorders>
            <w:shd w:fill="F5F8FA" w:val="clear"/>
            <w:tcMar>
              <w:top w:type="dxa" w:w="100"/>
              <w:left w:type="dxa" w:w="140"/>
              <w:bottom w:type="dxa" w:w="100"/>
              <w:right w:type="dxa" w:w="140"/>
            </w:tcMar>
          </w:tcPr>
          <w:p>
            <w:r>
              <w:rPr>
                <w:b w:val="false"/>
                <w:bCs w:val="false"/>
              </w:rPr>
              <w:t xml:space="preserve">Is this cloud-based? What if my internet goes down?</w:t>
            </w:r>
          </w:p>
        </w:tc>
        <w:tc>
          <w:tcPr>
            <w:tcW w:type="dxa" w:w="3480"/>
            <w:tcBorders>
              <w:top w:val="single" w:color="CCCCCC" w:sz="4"/>
              <w:left w:val="single" w:color="CCCCCC" w:sz="4"/>
              <w:bottom w:val="single" w:color="CCCCCC" w:sz="4"/>
              <w:right w:val="single" w:color="CCCCCC" w:sz="4"/>
            </w:tcBorders>
            <w:shd w:fill="F5F8FA" w:val="clear"/>
            <w:tcMar>
              <w:top w:type="dxa" w:w="100"/>
              <w:left w:type="dxa" w:w="140"/>
              <w:bottom w:type="dxa" w:w="100"/>
              <w:right w:type="dxa" w:w="140"/>
            </w:tcMar>
          </w:tcPr>
          <w:p>
            <w:r>
              <w:rPr>
                <w:b w:val="false"/>
                <w:bCs w:val="false"/>
              </w:rPr>
              <w:t xml:space="preserve">Yes, it runs in the cloud. If your internet is down, AI isn’t available — just like Microsoft 365 or Google Workspace. We help you build in fallbacks for critical workflows.</w:t>
            </w:r>
          </w:p>
        </w:tc>
        <w:tc>
          <w:tcPr>
            <w:tcW w:type="dxa" w:w="3280"/>
            <w:tcBorders>
              <w:top w:val="single" w:color="CCCCCC" w:sz="4"/>
              <w:left w:val="single" w:color="CCCCCC" w:sz="4"/>
              <w:bottom w:val="single" w:color="CCCCCC" w:sz="4"/>
              <w:right w:val="single" w:color="CCCCCC" w:sz="4"/>
            </w:tcBorders>
            <w:shd w:fill="F5F8FA" w:val="clear"/>
            <w:tcMar>
              <w:top w:type="dxa" w:w="100"/>
              <w:left w:type="dxa" w:w="140"/>
              <w:bottom w:type="dxa" w:w="100"/>
              <w:right w:type="dxa" w:w="140"/>
            </w:tcMar>
          </w:tcPr>
          <w:p>
            <w:r>
              <w:rPr>
                <w:b w:val="false"/>
                <w:bCs w:val="false"/>
              </w:rPr>
              <w:t xml:space="preserve">Same operational risk profile as M365 or Google Workspace — clients who can tolerate those outages can tolerate AI outages. Helpdesk escalation matters.</w:t>
            </w:r>
          </w:p>
        </w:tc>
      </w:tr>
      <w:tr>
        <w:trPr>
          <w:tblHeader w:val="false"/>
        </w:trPr>
        <w:tc>
          <w:tcPr>
            <w:tcW w:type="dxa" w:w="26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Which AI models do you use?</w:t>
            </w:r>
          </w:p>
        </w:tc>
        <w:tc>
          <w:tcPr>
            <w:tcW w:type="dxa" w:w="348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We match the model to the work. Claude for reasoning-heavy work like analysis and contract review, Copilot for Office-native workflows, others where they fit. We don’t push a single vendor.</w:t>
            </w:r>
          </w:p>
        </w:tc>
        <w:tc>
          <w:tcPr>
            <w:tcW w:type="dxa" w:w="328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Vendor-neutral posture is a differentiator. The 4D Delegation step decides model fit per task.</w:t>
            </w:r>
          </w:p>
        </w:tc>
      </w:tr>
      <w:tr>
        <w:trPr>
          <w:tblHeader w:val="false"/>
        </w:trPr>
        <w:tc>
          <w:tcPr>
            <w:tcW w:type="dxa" w:w="2600"/>
            <w:tcBorders>
              <w:top w:val="single" w:color="CCCCCC" w:sz="4"/>
              <w:left w:val="single" w:color="CCCCCC" w:sz="4"/>
              <w:bottom w:val="single" w:color="CCCCCC" w:sz="4"/>
              <w:right w:val="single" w:color="CCCCCC" w:sz="4"/>
            </w:tcBorders>
            <w:shd w:fill="F5F8FA" w:val="clear"/>
            <w:tcMar>
              <w:top w:type="dxa" w:w="100"/>
              <w:left w:type="dxa" w:w="140"/>
              <w:bottom w:type="dxa" w:w="100"/>
              <w:right w:type="dxa" w:w="140"/>
            </w:tcMar>
          </w:tcPr>
          <w:p>
            <w:r>
              <w:rPr>
                <w:b w:val="false"/>
                <w:bCs w:val="false"/>
              </w:rPr>
              <w:t xml:space="preserve">What if the AI gets something wrong?</w:t>
            </w:r>
          </w:p>
        </w:tc>
        <w:tc>
          <w:tcPr>
            <w:tcW w:type="dxa" w:w="3480"/>
            <w:tcBorders>
              <w:top w:val="single" w:color="CCCCCC" w:sz="4"/>
              <w:left w:val="single" w:color="CCCCCC" w:sz="4"/>
              <w:bottom w:val="single" w:color="CCCCCC" w:sz="4"/>
              <w:right w:val="single" w:color="CCCCCC" w:sz="4"/>
            </w:tcBorders>
            <w:shd w:fill="F5F8FA" w:val="clear"/>
            <w:tcMar>
              <w:top w:type="dxa" w:w="100"/>
              <w:left w:type="dxa" w:w="140"/>
              <w:bottom w:type="dxa" w:w="100"/>
              <w:right w:type="dxa" w:w="140"/>
            </w:tcMar>
          </w:tcPr>
          <w:p>
            <w:r>
              <w:rPr>
                <w:b w:val="false"/>
                <w:bCs w:val="false"/>
              </w:rPr>
              <w:t xml:space="preserve">We set up review practices before anything goes live — so a human checks AI output for the decisions that matter. Nothing sensitive ships without eyes on it.</w:t>
            </w:r>
          </w:p>
        </w:tc>
        <w:tc>
          <w:tcPr>
            <w:tcW w:type="dxa" w:w="3280"/>
            <w:tcBorders>
              <w:top w:val="single" w:color="CCCCCC" w:sz="4"/>
              <w:left w:val="single" w:color="CCCCCC" w:sz="4"/>
              <w:bottom w:val="single" w:color="CCCCCC" w:sz="4"/>
              <w:right w:val="single" w:color="CCCCCC" w:sz="4"/>
            </w:tcBorders>
            <w:shd w:fill="F5F8FA" w:val="clear"/>
            <w:tcMar>
              <w:top w:type="dxa" w:w="100"/>
              <w:left w:type="dxa" w:w="140"/>
              <w:bottom w:type="dxa" w:w="100"/>
              <w:right w:type="dxa" w:w="140"/>
            </w:tcMar>
          </w:tcPr>
          <w:p>
            <w:r>
              <w:rPr>
                <w:b w:val="false"/>
                <w:bCs w:val="false"/>
              </w:rPr>
              <w:t xml:space="preserve">This is the Discernment discipline — human-in-the-loop thresholds, QA checklists, escalation rules. Sold as part of the Onboarding engagement.</w:t>
            </w:r>
          </w:p>
        </w:tc>
      </w:tr>
      <w:tr>
        <w:trPr>
          <w:tblHeader w:val="false"/>
        </w:trPr>
        <w:tc>
          <w:tcPr>
            <w:tcW w:type="dxa" w:w="26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What if our data leaks?</w:t>
            </w:r>
          </w:p>
        </w:tc>
        <w:tc>
          <w:tcPr>
            <w:tcW w:type="dxa" w:w="348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Our policy setup, DLP controls, and tenant isolation are designed to prevent it. On top of that, the Enterprise plans we use don’t train models on your data, and we maintain an audit log of everything.</w:t>
            </w:r>
          </w:p>
        </w:tc>
        <w:tc>
          <w:tcPr>
            <w:tcW w:type="dxa" w:w="328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DLP through Microsoft Purview or vendor-native controls; policy as a Katana deliverable; audit logs reviewable quarterly.</w:t>
            </w:r>
          </w:p>
        </w:tc>
      </w:tr>
      <w:tr>
        <w:trPr>
          <w:tblHeader w:val="false"/>
        </w:trPr>
        <w:tc>
          <w:tcPr>
            <w:tcW w:type="dxa" w:w="2600"/>
            <w:tcBorders>
              <w:top w:val="single" w:color="CCCCCC" w:sz="4"/>
              <w:left w:val="single" w:color="CCCCCC" w:sz="4"/>
              <w:bottom w:val="single" w:color="CCCCCC" w:sz="4"/>
              <w:right w:val="single" w:color="CCCCCC" w:sz="4"/>
            </w:tcBorders>
            <w:shd w:fill="F5F8FA" w:val="clear"/>
            <w:tcMar>
              <w:top w:type="dxa" w:w="100"/>
              <w:left w:type="dxa" w:w="140"/>
              <w:bottom w:type="dxa" w:w="100"/>
              <w:right w:type="dxa" w:w="140"/>
            </w:tcMar>
          </w:tcPr>
          <w:p>
            <w:r>
              <w:rPr>
                <w:b w:val="false"/>
                <w:bCs w:val="false"/>
              </w:rPr>
              <w:t xml:space="preserve">Do I own the data I put in?</w:t>
            </w:r>
          </w:p>
        </w:tc>
        <w:tc>
          <w:tcPr>
            <w:tcW w:type="dxa" w:w="3480"/>
            <w:tcBorders>
              <w:top w:val="single" w:color="CCCCCC" w:sz="4"/>
              <w:left w:val="single" w:color="CCCCCC" w:sz="4"/>
              <w:bottom w:val="single" w:color="CCCCCC" w:sz="4"/>
              <w:right w:val="single" w:color="CCCCCC" w:sz="4"/>
            </w:tcBorders>
            <w:shd w:fill="F5F8FA" w:val="clear"/>
            <w:tcMar>
              <w:top w:type="dxa" w:w="100"/>
              <w:left w:type="dxa" w:w="140"/>
              <w:bottom w:type="dxa" w:w="100"/>
              <w:right w:type="dxa" w:w="140"/>
            </w:tcMar>
          </w:tcPr>
          <w:p>
            <w:r>
              <w:rPr>
                <w:b w:val="false"/>
                <w:bCs w:val="false"/>
              </w:rPr>
              <w:t xml:space="preserve">Yes. Your data stays yours. The vendor doesn’t train their models on it and can’t reuse it.</w:t>
            </w:r>
          </w:p>
        </w:tc>
        <w:tc>
          <w:tcPr>
            <w:tcW w:type="dxa" w:w="3280"/>
            <w:tcBorders>
              <w:top w:val="single" w:color="CCCCCC" w:sz="4"/>
              <w:left w:val="single" w:color="CCCCCC" w:sz="4"/>
              <w:bottom w:val="single" w:color="CCCCCC" w:sz="4"/>
              <w:right w:val="single" w:color="CCCCCC" w:sz="4"/>
            </w:tcBorders>
            <w:shd w:fill="F5F8FA" w:val="clear"/>
            <w:tcMar>
              <w:top w:type="dxa" w:w="100"/>
              <w:left w:type="dxa" w:w="140"/>
              <w:bottom w:type="dxa" w:w="100"/>
              <w:right w:type="dxa" w:w="140"/>
            </w:tcMar>
          </w:tcPr>
          <w:p>
            <w:r>
              <w:rPr>
                <w:b w:val="false"/>
                <w:bCs w:val="false"/>
              </w:rPr>
              <w:t xml:space="preserve">Contractually specified in every Enterprise ToS. Team/Business tiers may be different — always check before deploying.</w:t>
            </w:r>
          </w:p>
        </w:tc>
      </w:tr>
      <w:tr>
        <w:trPr>
          <w:tblHeader w:val="false"/>
        </w:trPr>
        <w:tc>
          <w:tcPr>
            <w:tcW w:type="dxa" w:w="26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Is my industry supported? (healthcare / legal / finance)</w:t>
            </w:r>
          </w:p>
        </w:tc>
        <w:tc>
          <w:tcPr>
            <w:tcW w:type="dxa" w:w="348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Yes, with the right setup. We map your regulatory posture — HIPAA, PCI, SOC 2, state data laws — to the AI plan and build the policy to match.</w:t>
            </w:r>
          </w:p>
        </w:tc>
        <w:tc>
          <w:tcPr>
            <w:tcW w:type="dxa" w:w="328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HIPAA requires a BAA (Business Associate Agreement). Anthropic, Microsoft, OpenAI, and Google all sign BAAs on their enterprise tiers. Details vary — verify per engagement.</w:t>
            </w:r>
          </w:p>
        </w:tc>
      </w:tr>
      <w:tr>
        <w:trPr>
          <w:tblHeader w:val="false"/>
        </w:trPr>
        <w:tc>
          <w:tcPr>
            <w:tcW w:type="dxa" w:w="2600"/>
            <w:tcBorders>
              <w:top w:val="single" w:color="CCCCCC" w:sz="4"/>
              <w:left w:val="single" w:color="CCCCCC" w:sz="4"/>
              <w:bottom w:val="single" w:color="CCCCCC" w:sz="4"/>
              <w:right w:val="single" w:color="CCCCCC" w:sz="4"/>
            </w:tcBorders>
            <w:shd w:fill="F5F8FA" w:val="clear"/>
            <w:tcMar>
              <w:top w:type="dxa" w:w="100"/>
              <w:left w:type="dxa" w:w="140"/>
              <w:bottom w:type="dxa" w:w="100"/>
              <w:right w:type="dxa" w:w="140"/>
            </w:tcMar>
          </w:tcPr>
          <w:p>
            <w:r>
              <w:rPr>
                <w:b w:val="false"/>
                <w:bCs w:val="false"/>
              </w:rPr>
              <w:t xml:space="preserve">How does this integrate with what we already have?</w:t>
            </w:r>
          </w:p>
        </w:tc>
        <w:tc>
          <w:tcPr>
            <w:tcW w:type="dxa" w:w="3480"/>
            <w:tcBorders>
              <w:top w:val="single" w:color="CCCCCC" w:sz="4"/>
              <w:left w:val="single" w:color="CCCCCC" w:sz="4"/>
              <w:bottom w:val="single" w:color="CCCCCC" w:sz="4"/>
              <w:right w:val="single" w:color="CCCCCC" w:sz="4"/>
            </w:tcBorders>
            <w:shd w:fill="F5F8FA" w:val="clear"/>
            <w:tcMar>
              <w:top w:type="dxa" w:w="100"/>
              <w:left w:type="dxa" w:w="140"/>
              <w:bottom w:type="dxa" w:w="100"/>
              <w:right w:type="dxa" w:w="140"/>
            </w:tcMar>
          </w:tcPr>
          <w:p>
            <w:r>
              <w:rPr>
                <w:b w:val="false"/>
                <w:bCs w:val="false"/>
              </w:rPr>
              <w:t xml:space="preserve">It connects to Microsoft 365, Google Workspace, Slack, your CRM, your accounting system, your file storage — through built-in integrations or the Model Context Protocol (MCP) for custom apps.</w:t>
            </w:r>
          </w:p>
        </w:tc>
        <w:tc>
          <w:tcPr>
            <w:tcW w:type="dxa" w:w="3280"/>
            <w:tcBorders>
              <w:top w:val="single" w:color="CCCCCC" w:sz="4"/>
              <w:left w:val="single" w:color="CCCCCC" w:sz="4"/>
              <w:bottom w:val="single" w:color="CCCCCC" w:sz="4"/>
              <w:right w:val="single" w:color="CCCCCC" w:sz="4"/>
            </w:tcBorders>
            <w:shd w:fill="F5F8FA" w:val="clear"/>
            <w:tcMar>
              <w:top w:type="dxa" w:w="100"/>
              <w:left w:type="dxa" w:w="140"/>
              <w:bottom w:type="dxa" w:w="100"/>
              <w:right w:type="dxa" w:w="140"/>
            </w:tcMar>
          </w:tcPr>
          <w:p>
            <w:r>
              <w:rPr>
                <w:b w:val="false"/>
                <w:bCs w:val="false"/>
              </w:rPr>
              <w:t xml:space="preserve">MCP is the standard for connecting AI to internal tools. Growing ecosystem of connectors. For M365 shops, Copilot is already deeply wired in.</w:t>
            </w:r>
          </w:p>
        </w:tc>
      </w:tr>
      <w:tr>
        <w:trPr>
          <w:tblHeader w:val="false"/>
        </w:trPr>
        <w:tc>
          <w:tcPr>
            <w:tcW w:type="dxa" w:w="26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How long does onboarding take?</w:t>
            </w:r>
          </w:p>
        </w:tc>
        <w:tc>
          <w:tcPr>
            <w:tcW w:type="dxa" w:w="348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Two weeks for a Readiness Assessment, then 30–60 days to go live on your first real use cases with policy, training, and guardrails in place.</w:t>
            </w:r>
          </w:p>
        </w:tc>
        <w:tc>
          <w:tcPr>
            <w:tcW w:type="dxa" w:w="328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Katana’s productized Readiness Assessment + Onboarding engagements. Fixed scope, fixed price.</w:t>
            </w:r>
          </w:p>
        </w:tc>
      </w:tr>
      <w:tr>
        <w:trPr>
          <w:tblHeader w:val="false"/>
        </w:trPr>
        <w:tc>
          <w:tcPr>
            <w:tcW w:type="dxa" w:w="2600"/>
            <w:tcBorders>
              <w:top w:val="single" w:color="CCCCCC" w:sz="4"/>
              <w:left w:val="single" w:color="CCCCCC" w:sz="4"/>
              <w:bottom w:val="single" w:color="CCCCCC" w:sz="4"/>
              <w:right w:val="single" w:color="CCCCCC" w:sz="4"/>
            </w:tcBorders>
            <w:shd w:fill="F5F8FA" w:val="clear"/>
            <w:tcMar>
              <w:top w:type="dxa" w:w="100"/>
              <w:left w:type="dxa" w:w="140"/>
              <w:bottom w:type="dxa" w:w="100"/>
              <w:right w:type="dxa" w:w="140"/>
            </w:tcMar>
          </w:tcPr>
          <w:p>
            <w:r>
              <w:rPr>
                <w:b w:val="false"/>
                <w:bCs w:val="false"/>
              </w:rPr>
              <w:t xml:space="preserve">Do I have to sign a long contract?</w:t>
            </w:r>
          </w:p>
        </w:tc>
        <w:tc>
          <w:tcPr>
            <w:tcW w:type="dxa" w:w="3480"/>
            <w:tcBorders>
              <w:top w:val="single" w:color="CCCCCC" w:sz="4"/>
              <w:left w:val="single" w:color="CCCCCC" w:sz="4"/>
              <w:bottom w:val="single" w:color="CCCCCC" w:sz="4"/>
              <w:right w:val="single" w:color="CCCCCC" w:sz="4"/>
            </w:tcBorders>
            <w:shd w:fill="F5F8FA" w:val="clear"/>
            <w:tcMar>
              <w:top w:type="dxa" w:w="100"/>
              <w:left w:type="dxa" w:w="140"/>
              <w:bottom w:type="dxa" w:w="100"/>
              <w:right w:type="dxa" w:w="140"/>
            </w:tcMar>
          </w:tcPr>
          <w:p>
            <w:r>
              <w:rPr>
                <w:b w:val="false"/>
                <w:bCs w:val="false"/>
              </w:rPr>
              <w:t xml:space="preserve">AI licenses are typically month-to-month or annual. Our managed AI service is part of your Katana agreement — same terms you’re already on.</w:t>
            </w:r>
          </w:p>
        </w:tc>
        <w:tc>
          <w:tcPr>
            <w:tcW w:type="dxa" w:w="3280"/>
            <w:tcBorders>
              <w:top w:val="single" w:color="CCCCCC" w:sz="4"/>
              <w:left w:val="single" w:color="CCCCCC" w:sz="4"/>
              <w:bottom w:val="single" w:color="CCCCCC" w:sz="4"/>
              <w:right w:val="single" w:color="CCCCCC" w:sz="4"/>
            </w:tcBorders>
            <w:shd w:fill="F5F8FA" w:val="clear"/>
            <w:tcMar>
              <w:top w:type="dxa" w:w="100"/>
              <w:left w:type="dxa" w:w="140"/>
              <w:bottom w:type="dxa" w:w="100"/>
              <w:right w:type="dxa" w:w="140"/>
            </w:tcMar>
          </w:tcPr>
          <w:p>
            <w:r>
              <w:rPr>
                <w:b w:val="false"/>
                <w:bCs w:val="false"/>
              </w:rPr>
              <w:t xml:space="preserve">License terms vary: Enterprise plans often have annual commitments (e.g., 70-seat min for Claude Enterprise). SMB-tier plans usually allow monthly.</w:t>
            </w:r>
          </w:p>
        </w:tc>
      </w:tr>
      <w:tr>
        <w:trPr>
          <w:tblHeader w:val="false"/>
        </w:trPr>
        <w:tc>
          <w:tcPr>
            <w:tcW w:type="dxa" w:w="26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Can we customize it for our business?</w:t>
            </w:r>
          </w:p>
        </w:tc>
        <w:tc>
          <w:tcPr>
            <w:tcW w:type="dxa" w:w="348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Yes. We build custom skills, agents, or automations on top of the base AI — tuned to your processes, your documents, and your language.</w:t>
            </w:r>
          </w:p>
        </w:tc>
        <w:tc>
          <w:tcPr>
            <w:tcW w:type="dxa" w:w="328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Skills / Projects (Claude), Custom GPTs (OpenAI), Copilot Studio agents (Microsoft), Gems (Google). See Section 6.</w:t>
            </w:r>
          </w:p>
        </w:tc>
      </w:tr>
    </w:tbl>
    <w:p>
      <w:pPr>
        <w:pStyle w:val="Heading1"/>
      </w:pPr>
      <w:r>
        <w:t xml:space="preserve">3. What AI Can Do for Your Clients</w:t>
      </w:r>
    </w:p>
    <w:p>
      <w:pPr>
        <w:spacing w:after="80" w:before="80"/>
      </w:pPr>
      <w:r>
        <w:t xml:space="preserve">Clients ask "what can AI do for me" expecting a list. Below is that list — first by role, then by vertical — so Drew can match use cases to the client’s profile in the first call.</w:t>
      </w:r>
    </w:p>
    <w:p>
      <w:pPr>
        <w:pStyle w:val="Heading2"/>
      </w:pPr>
      <w:r>
        <w:t xml:space="preserve">3.1 Use cases by role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660"/>
        <w:gridCol w:w="2800"/>
      </w:tblGrid>
      <w:tr>
        <w:trPr>
          <w:tblHeader/>
        </w:trPr>
        <w:tc>
          <w:tcPr>
            <w:tcW w:type="dxa" w:w="1900"/>
            <w:tcBorders>
              <w:top w:val="single" w:color="CCCCCC" w:sz="4"/>
              <w:left w:val="single" w:color="CCCCCC" w:sz="4"/>
              <w:bottom w:val="single" w:color="CCCCCC" w:sz="4"/>
              <w:right w:val="single" w:color="CCCCCC" w:sz="4"/>
            </w:tcBorders>
            <w:shd w:fill="D5E8F0" w:val="clear"/>
            <w:tcMar>
              <w:top w:type="dxa" w:w="100"/>
              <w:left w:type="dxa" w:w="140"/>
              <w:bottom w:type="dxa" w:w="100"/>
              <w:right w:type="dxa" w:w="140"/>
            </w:tcMar>
          </w:tcPr>
          <w:p>
            <w:r>
              <w:rPr>
                <w:b/>
                <w:bCs/>
              </w:rPr>
              <w:t xml:space="preserve">Role</w:t>
            </w:r>
          </w:p>
        </w:tc>
        <w:tc>
          <w:tcPr>
            <w:tcW w:type="dxa" w:w="4660"/>
            <w:tcBorders>
              <w:top w:val="single" w:color="CCCCCC" w:sz="4"/>
              <w:left w:val="single" w:color="CCCCCC" w:sz="4"/>
              <w:bottom w:val="single" w:color="CCCCCC" w:sz="4"/>
              <w:right w:val="single" w:color="CCCCCC" w:sz="4"/>
            </w:tcBorders>
            <w:shd w:fill="D5E8F0" w:val="clear"/>
            <w:tcMar>
              <w:top w:type="dxa" w:w="100"/>
              <w:left w:type="dxa" w:w="140"/>
              <w:bottom w:type="dxa" w:w="100"/>
              <w:right w:type="dxa" w:w="140"/>
            </w:tcMar>
          </w:tcPr>
          <w:p>
            <w:r>
              <w:rPr>
                <w:b/>
                <w:bCs/>
              </w:rPr>
              <w:t xml:space="preserve">What AI does for them</w:t>
            </w:r>
          </w:p>
        </w:tc>
        <w:tc>
          <w:tcPr>
            <w:tcW w:type="dxa" w:w="2800"/>
            <w:tcBorders>
              <w:top w:val="single" w:color="CCCCCC" w:sz="4"/>
              <w:left w:val="single" w:color="CCCCCC" w:sz="4"/>
              <w:bottom w:val="single" w:color="CCCCCC" w:sz="4"/>
              <w:right w:val="single" w:color="CCCCCC" w:sz="4"/>
            </w:tcBorders>
            <w:shd w:fill="D5E8F0" w:val="clear"/>
            <w:tcMar>
              <w:top w:type="dxa" w:w="100"/>
              <w:left w:type="dxa" w:w="140"/>
              <w:bottom w:type="dxa" w:w="100"/>
              <w:right w:type="dxa" w:w="140"/>
            </w:tcMar>
          </w:tcPr>
          <w:p>
            <w:r>
              <w:rPr>
                <w:b/>
                <w:bCs/>
              </w:rPr>
              <w:t xml:space="preserve">Value</w:t>
            </w:r>
          </w:p>
        </w:tc>
      </w:tr>
      <w:tr>
        <w:trPr>
          <w:tblHeader w:val="false"/>
        </w:trPr>
        <w:tc>
          <w:tcPr>
            <w:tcW w:type="dxa" w:w="19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Executives / Owners</w:t>
            </w:r>
          </w:p>
        </w:tc>
        <w:tc>
          <w:tcPr>
            <w:tcW w:type="dxa" w:w="46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Summarize long reports. Draft internal communications. Analyze financial trends. Prep for board meetings. Research acquisitions, vendors, competitors.</w:t>
            </w:r>
          </w:p>
        </w:tc>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Time recovered — the highest-billable-hour person in the building gets hours back per week.</w:t>
            </w:r>
          </w:p>
        </w:tc>
      </w:tr>
      <w:tr>
        <w:trPr>
          <w:tblHeader w:val="false"/>
        </w:trPr>
        <w:tc>
          <w:tcPr>
            <w:tcW w:type="dxa" w:w="1900"/>
            <w:tcBorders>
              <w:top w:val="single" w:color="CCCCCC" w:sz="4"/>
              <w:left w:val="single" w:color="CCCCCC" w:sz="4"/>
              <w:bottom w:val="single" w:color="CCCCCC" w:sz="4"/>
              <w:right w:val="single" w:color="CCCCCC" w:sz="4"/>
            </w:tcBorders>
            <w:shd w:fill="F5F8FA" w:val="clear"/>
            <w:tcMar>
              <w:top w:type="dxa" w:w="100"/>
              <w:left w:type="dxa" w:w="140"/>
              <w:bottom w:type="dxa" w:w="100"/>
              <w:right w:type="dxa" w:w="140"/>
            </w:tcMar>
          </w:tcPr>
          <w:p>
            <w:r>
              <w:rPr>
                <w:b w:val="false"/>
                <w:bCs w:val="false"/>
              </w:rPr>
              <w:t xml:space="preserve">Sales</w:t>
            </w:r>
          </w:p>
        </w:tc>
        <w:tc>
          <w:tcPr>
            <w:tcW w:type="dxa" w:w="4660"/>
            <w:tcBorders>
              <w:top w:val="single" w:color="CCCCCC" w:sz="4"/>
              <w:left w:val="single" w:color="CCCCCC" w:sz="4"/>
              <w:bottom w:val="single" w:color="CCCCCC" w:sz="4"/>
              <w:right w:val="single" w:color="CCCCCC" w:sz="4"/>
            </w:tcBorders>
            <w:shd w:fill="F5F8FA" w:val="clear"/>
            <w:tcMar>
              <w:top w:type="dxa" w:w="100"/>
              <w:left w:type="dxa" w:w="140"/>
              <w:bottom w:type="dxa" w:w="100"/>
              <w:right w:type="dxa" w:w="140"/>
            </w:tcMar>
          </w:tcPr>
          <w:p>
            <w:r>
              <w:rPr>
                <w:b w:val="false"/>
                <w:bCs w:val="false"/>
              </w:rPr>
              <w:t xml:space="preserve">Draft personalized outreach. Research prospects. Summarize discovery calls. Write proposals. Build battle cards. Follow up on quiet deals.</w:t>
            </w:r>
          </w:p>
        </w:tc>
        <w:tc>
          <w:tcPr>
            <w:tcW w:type="dxa" w:w="2800"/>
            <w:tcBorders>
              <w:top w:val="single" w:color="CCCCCC" w:sz="4"/>
              <w:left w:val="single" w:color="CCCCCC" w:sz="4"/>
              <w:bottom w:val="single" w:color="CCCCCC" w:sz="4"/>
              <w:right w:val="single" w:color="CCCCCC" w:sz="4"/>
            </w:tcBorders>
            <w:shd w:fill="F5F8FA" w:val="clear"/>
            <w:tcMar>
              <w:top w:type="dxa" w:w="100"/>
              <w:left w:type="dxa" w:w="140"/>
              <w:bottom w:type="dxa" w:w="100"/>
              <w:right w:type="dxa" w:w="140"/>
            </w:tcMar>
          </w:tcPr>
          <w:p>
            <w:r>
              <w:rPr>
                <w:b w:val="false"/>
                <w:bCs w:val="false"/>
              </w:rPr>
              <w:t xml:space="preserve">More qualified at-bats per rep. Faster response times. Better proposal quality at volume.</w:t>
            </w:r>
          </w:p>
        </w:tc>
      </w:tr>
      <w:tr>
        <w:trPr>
          <w:tblHeader w:val="false"/>
        </w:trPr>
        <w:tc>
          <w:tcPr>
            <w:tcW w:type="dxa" w:w="19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Marketing</w:t>
            </w:r>
          </w:p>
        </w:tc>
        <w:tc>
          <w:tcPr>
            <w:tcW w:type="dxa" w:w="46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Draft blog posts, emails, social copy, ad variations. Repurpose content across channels. Analyze campaign performance. Generate creative briefs.</w:t>
            </w:r>
          </w:p>
        </w:tc>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3–5x content throughput without hiring. Better audience segmentation.</w:t>
            </w:r>
          </w:p>
        </w:tc>
      </w:tr>
      <w:tr>
        <w:trPr>
          <w:tblHeader w:val="false"/>
        </w:trPr>
        <w:tc>
          <w:tcPr>
            <w:tcW w:type="dxa" w:w="1900"/>
            <w:tcBorders>
              <w:top w:val="single" w:color="CCCCCC" w:sz="4"/>
              <w:left w:val="single" w:color="CCCCCC" w:sz="4"/>
              <w:bottom w:val="single" w:color="CCCCCC" w:sz="4"/>
              <w:right w:val="single" w:color="CCCCCC" w:sz="4"/>
            </w:tcBorders>
            <w:shd w:fill="F5F8FA" w:val="clear"/>
            <w:tcMar>
              <w:top w:type="dxa" w:w="100"/>
              <w:left w:type="dxa" w:w="140"/>
              <w:bottom w:type="dxa" w:w="100"/>
              <w:right w:type="dxa" w:w="140"/>
            </w:tcMar>
          </w:tcPr>
          <w:p>
            <w:r>
              <w:rPr>
                <w:b w:val="false"/>
                <w:bCs w:val="false"/>
              </w:rPr>
              <w:t xml:space="preserve">Finance / Accounting</w:t>
            </w:r>
          </w:p>
        </w:tc>
        <w:tc>
          <w:tcPr>
            <w:tcW w:type="dxa" w:w="4660"/>
            <w:tcBorders>
              <w:top w:val="single" w:color="CCCCCC" w:sz="4"/>
              <w:left w:val="single" w:color="CCCCCC" w:sz="4"/>
              <w:bottom w:val="single" w:color="CCCCCC" w:sz="4"/>
              <w:right w:val="single" w:color="CCCCCC" w:sz="4"/>
            </w:tcBorders>
            <w:shd w:fill="F5F8FA" w:val="clear"/>
            <w:tcMar>
              <w:top w:type="dxa" w:w="100"/>
              <w:left w:type="dxa" w:w="140"/>
              <w:bottom w:type="dxa" w:w="100"/>
              <w:right w:type="dxa" w:w="140"/>
            </w:tcMar>
          </w:tcPr>
          <w:p>
            <w:r>
              <w:rPr>
                <w:b w:val="false"/>
                <w:bCs w:val="false"/>
              </w:rPr>
              <w:t xml:space="preserve">Extract data from invoices and contracts. Build and explain spreadsheets. Draft board packets. Flag anomalies. Draft collection emails.</w:t>
            </w:r>
          </w:p>
        </w:tc>
        <w:tc>
          <w:tcPr>
            <w:tcW w:type="dxa" w:w="2800"/>
            <w:tcBorders>
              <w:top w:val="single" w:color="CCCCCC" w:sz="4"/>
              <w:left w:val="single" w:color="CCCCCC" w:sz="4"/>
              <w:bottom w:val="single" w:color="CCCCCC" w:sz="4"/>
              <w:right w:val="single" w:color="CCCCCC" w:sz="4"/>
            </w:tcBorders>
            <w:shd w:fill="F5F8FA" w:val="clear"/>
            <w:tcMar>
              <w:top w:type="dxa" w:w="100"/>
              <w:left w:type="dxa" w:w="140"/>
              <w:bottom w:type="dxa" w:w="100"/>
              <w:right w:type="dxa" w:w="140"/>
            </w:tcMar>
          </w:tcPr>
          <w:p>
            <w:r>
              <w:rPr>
                <w:b w:val="false"/>
                <w:bCs w:val="false"/>
              </w:rPr>
              <w:t xml:space="preserve">Close cycles shorten. Fewer manual data-entry errors. More time on analysis, less on rekeying.</w:t>
            </w:r>
          </w:p>
        </w:tc>
      </w:tr>
      <w:tr>
        <w:trPr>
          <w:tblHeader w:val="false"/>
        </w:trPr>
        <w:tc>
          <w:tcPr>
            <w:tcW w:type="dxa" w:w="19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Operations</w:t>
            </w:r>
          </w:p>
        </w:tc>
        <w:tc>
          <w:tcPr>
            <w:tcW w:type="dxa" w:w="46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Draft SOPs and runbooks. Triage incoming requests. Summarize meetings and action items. Pull reports. Answer "where is the thing" questions from policy and process docs.</w:t>
            </w:r>
          </w:p>
        </w:tc>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Fewer repetitive answers from the ops team. Better institutional knowledge capture.</w:t>
            </w:r>
          </w:p>
        </w:tc>
      </w:tr>
      <w:tr>
        <w:trPr>
          <w:tblHeader w:val="false"/>
        </w:trPr>
        <w:tc>
          <w:tcPr>
            <w:tcW w:type="dxa" w:w="1900"/>
            <w:tcBorders>
              <w:top w:val="single" w:color="CCCCCC" w:sz="4"/>
              <w:left w:val="single" w:color="CCCCCC" w:sz="4"/>
              <w:bottom w:val="single" w:color="CCCCCC" w:sz="4"/>
              <w:right w:val="single" w:color="CCCCCC" w:sz="4"/>
            </w:tcBorders>
            <w:shd w:fill="F5F8FA" w:val="clear"/>
            <w:tcMar>
              <w:top w:type="dxa" w:w="100"/>
              <w:left w:type="dxa" w:w="140"/>
              <w:bottom w:type="dxa" w:w="100"/>
              <w:right w:type="dxa" w:w="140"/>
            </w:tcMar>
          </w:tcPr>
          <w:p>
            <w:r>
              <w:rPr>
                <w:b w:val="false"/>
                <w:bCs w:val="false"/>
              </w:rPr>
              <w:t xml:space="preserve">Customer Service / Support</w:t>
            </w:r>
          </w:p>
        </w:tc>
        <w:tc>
          <w:tcPr>
            <w:tcW w:type="dxa" w:w="4660"/>
            <w:tcBorders>
              <w:top w:val="single" w:color="CCCCCC" w:sz="4"/>
              <w:left w:val="single" w:color="CCCCCC" w:sz="4"/>
              <w:bottom w:val="single" w:color="CCCCCC" w:sz="4"/>
              <w:right w:val="single" w:color="CCCCCC" w:sz="4"/>
            </w:tcBorders>
            <w:shd w:fill="F5F8FA" w:val="clear"/>
            <w:tcMar>
              <w:top w:type="dxa" w:w="100"/>
              <w:left w:type="dxa" w:w="140"/>
              <w:bottom w:type="dxa" w:w="100"/>
              <w:right w:type="dxa" w:w="140"/>
            </w:tcMar>
          </w:tcPr>
          <w:p>
            <w:r>
              <w:rPr>
                <w:b w:val="false"/>
                <w:bCs w:val="false"/>
              </w:rPr>
              <w:t xml:space="preserve">Draft first-response emails. Suggest answers from the knowledge base. Summarize ticket history. Identify escalations. Build post-call summaries.</w:t>
            </w:r>
          </w:p>
        </w:tc>
        <w:tc>
          <w:tcPr>
            <w:tcW w:type="dxa" w:w="2800"/>
            <w:tcBorders>
              <w:top w:val="single" w:color="CCCCCC" w:sz="4"/>
              <w:left w:val="single" w:color="CCCCCC" w:sz="4"/>
              <w:bottom w:val="single" w:color="CCCCCC" w:sz="4"/>
              <w:right w:val="single" w:color="CCCCCC" w:sz="4"/>
            </w:tcBorders>
            <w:shd w:fill="F5F8FA" w:val="clear"/>
            <w:tcMar>
              <w:top w:type="dxa" w:w="100"/>
              <w:left w:type="dxa" w:w="140"/>
              <w:bottom w:type="dxa" w:w="100"/>
              <w:right w:type="dxa" w:w="140"/>
            </w:tcMar>
          </w:tcPr>
          <w:p>
            <w:r>
              <w:rPr>
                <w:b w:val="false"/>
                <w:bCs w:val="false"/>
              </w:rPr>
              <w:t xml:space="preserve">Faster resolution. Consistent tone. Agents do judgment work, not retrieval work.</w:t>
            </w:r>
          </w:p>
        </w:tc>
      </w:tr>
      <w:tr>
        <w:trPr>
          <w:tblHeader w:val="false"/>
        </w:trPr>
        <w:tc>
          <w:tcPr>
            <w:tcW w:type="dxa" w:w="19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HR / People</w:t>
            </w:r>
          </w:p>
        </w:tc>
        <w:tc>
          <w:tcPr>
            <w:tcW w:type="dxa" w:w="46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Draft job descriptions. Summarize candidate resumes. Draft offer letters. Answer "what’s our policy on" questions from the handbook. Build onboarding plans.</w:t>
            </w:r>
          </w:p>
        </w:tc>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Hiring cycle compresses. Policy questions stop going to HR’s inbox.</w:t>
            </w:r>
          </w:p>
        </w:tc>
      </w:tr>
      <w:tr>
        <w:trPr>
          <w:tblHeader w:val="false"/>
        </w:trPr>
        <w:tc>
          <w:tcPr>
            <w:tcW w:type="dxa" w:w="1900"/>
            <w:tcBorders>
              <w:top w:val="single" w:color="CCCCCC" w:sz="4"/>
              <w:left w:val="single" w:color="CCCCCC" w:sz="4"/>
              <w:bottom w:val="single" w:color="CCCCCC" w:sz="4"/>
              <w:right w:val="single" w:color="CCCCCC" w:sz="4"/>
            </w:tcBorders>
            <w:shd w:fill="F5F8FA" w:val="clear"/>
            <w:tcMar>
              <w:top w:type="dxa" w:w="100"/>
              <w:left w:type="dxa" w:w="140"/>
              <w:bottom w:type="dxa" w:w="100"/>
              <w:right w:type="dxa" w:w="140"/>
            </w:tcMar>
          </w:tcPr>
          <w:p>
            <w:r>
              <w:rPr>
                <w:b w:val="false"/>
                <w:bCs w:val="false"/>
              </w:rPr>
              <w:t xml:space="preserve">IT / Engineering</w:t>
            </w:r>
          </w:p>
        </w:tc>
        <w:tc>
          <w:tcPr>
            <w:tcW w:type="dxa" w:w="4660"/>
            <w:tcBorders>
              <w:top w:val="single" w:color="CCCCCC" w:sz="4"/>
              <w:left w:val="single" w:color="CCCCCC" w:sz="4"/>
              <w:bottom w:val="single" w:color="CCCCCC" w:sz="4"/>
              <w:right w:val="single" w:color="CCCCCC" w:sz="4"/>
            </w:tcBorders>
            <w:shd w:fill="F5F8FA" w:val="clear"/>
            <w:tcMar>
              <w:top w:type="dxa" w:w="100"/>
              <w:left w:type="dxa" w:w="140"/>
              <w:bottom w:type="dxa" w:w="100"/>
              <w:right w:type="dxa" w:w="140"/>
            </w:tcMar>
          </w:tcPr>
          <w:p>
            <w:r>
              <w:rPr>
                <w:b w:val="false"/>
                <w:bCs w:val="false"/>
              </w:rPr>
              <w:t xml:space="preserve">Draft documentation. Write and review code. Draft runbooks and change requests. Summarize logs. Build automations. Triage alerts.</w:t>
            </w:r>
          </w:p>
        </w:tc>
        <w:tc>
          <w:tcPr>
            <w:tcW w:type="dxa" w:w="2800"/>
            <w:tcBorders>
              <w:top w:val="single" w:color="CCCCCC" w:sz="4"/>
              <w:left w:val="single" w:color="CCCCCC" w:sz="4"/>
              <w:bottom w:val="single" w:color="CCCCCC" w:sz="4"/>
              <w:right w:val="single" w:color="CCCCCC" w:sz="4"/>
            </w:tcBorders>
            <w:shd w:fill="F5F8FA" w:val="clear"/>
            <w:tcMar>
              <w:top w:type="dxa" w:w="100"/>
              <w:left w:type="dxa" w:w="140"/>
              <w:bottom w:type="dxa" w:w="100"/>
              <w:right w:type="dxa" w:w="140"/>
            </w:tcMar>
          </w:tcPr>
          <w:p>
            <w:r>
              <w:rPr>
                <w:b w:val="false"/>
                <w:bCs w:val="false"/>
              </w:rPr>
              <w:t xml:space="preserve">Time-to-documented grows. Junior engineers get senior-grade mentorship on tap.</w:t>
            </w:r>
          </w:p>
        </w:tc>
      </w:tr>
      <w:tr>
        <w:trPr>
          <w:tblHeader w:val="false"/>
        </w:trPr>
        <w:tc>
          <w:tcPr>
            <w:tcW w:type="dxa" w:w="19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Legal / Compliance</w:t>
            </w:r>
          </w:p>
        </w:tc>
        <w:tc>
          <w:tcPr>
            <w:tcW w:type="dxa" w:w="46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Redline contracts. Summarize case law. Extract clauses. Draft NDAs, SOWs, and MSAs. Flag unusual terms.</w:t>
            </w:r>
          </w:p>
        </w:tc>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Outside counsel spend drops. First-pass review quality goes up.</w:t>
            </w:r>
          </w:p>
        </w:tc>
      </w:tr>
    </w:tbl>
    <w:p>
      <w:pPr>
        <w:pStyle w:val="Heading2"/>
      </w:pPr>
      <w:r>
        <w:t xml:space="preserve">3.2 Use cases by vertical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280"/>
        <w:gridCol w:w="3080"/>
      </w:tblGrid>
      <w:tr>
        <w:trPr>
          <w:tblHeader/>
        </w:trPr>
        <w:tc>
          <w:tcPr>
            <w:tcW w:type="dxa" w:w="2000"/>
            <w:tcBorders>
              <w:top w:val="single" w:color="CCCCCC" w:sz="4"/>
              <w:left w:val="single" w:color="CCCCCC" w:sz="4"/>
              <w:bottom w:val="single" w:color="CCCCCC" w:sz="4"/>
              <w:right w:val="single" w:color="CCCCCC" w:sz="4"/>
            </w:tcBorders>
            <w:shd w:fill="D5E8F0" w:val="clear"/>
            <w:tcMar>
              <w:top w:type="dxa" w:w="100"/>
              <w:left w:type="dxa" w:w="140"/>
              <w:bottom w:type="dxa" w:w="100"/>
              <w:right w:type="dxa" w:w="140"/>
            </w:tcMar>
          </w:tcPr>
          <w:p>
            <w:r>
              <w:rPr>
                <w:b/>
                <w:bCs/>
              </w:rPr>
              <w:t xml:space="preserve">Vertical</w:t>
            </w:r>
          </w:p>
        </w:tc>
        <w:tc>
          <w:tcPr>
            <w:tcW w:type="dxa" w:w="4280"/>
            <w:tcBorders>
              <w:top w:val="single" w:color="CCCCCC" w:sz="4"/>
              <w:left w:val="single" w:color="CCCCCC" w:sz="4"/>
              <w:bottom w:val="single" w:color="CCCCCC" w:sz="4"/>
              <w:right w:val="single" w:color="CCCCCC" w:sz="4"/>
            </w:tcBorders>
            <w:shd w:fill="D5E8F0" w:val="clear"/>
            <w:tcMar>
              <w:top w:type="dxa" w:w="100"/>
              <w:left w:type="dxa" w:w="140"/>
              <w:bottom w:type="dxa" w:w="100"/>
              <w:right w:type="dxa" w:w="140"/>
            </w:tcMar>
          </w:tcPr>
          <w:p>
            <w:r>
              <w:rPr>
                <w:b/>
                <w:bCs/>
              </w:rPr>
              <w:t xml:space="preserve">Use cases that land fastest</w:t>
            </w:r>
          </w:p>
        </w:tc>
        <w:tc>
          <w:tcPr>
            <w:tcW w:type="dxa" w:w="3080"/>
            <w:tcBorders>
              <w:top w:val="single" w:color="CCCCCC" w:sz="4"/>
              <w:left w:val="single" w:color="CCCCCC" w:sz="4"/>
              <w:bottom w:val="single" w:color="CCCCCC" w:sz="4"/>
              <w:right w:val="single" w:color="CCCCCC" w:sz="4"/>
            </w:tcBorders>
            <w:shd w:fill="D5E8F0" w:val="clear"/>
            <w:tcMar>
              <w:top w:type="dxa" w:w="100"/>
              <w:left w:type="dxa" w:w="140"/>
              <w:bottom w:type="dxa" w:w="100"/>
              <w:right w:type="dxa" w:w="140"/>
            </w:tcMar>
          </w:tcPr>
          <w:p>
            <w:r>
              <w:rPr>
                <w:b/>
                <w:bCs/>
              </w:rPr>
              <w:t xml:space="preserve">What makes it sensitive</w:t>
            </w:r>
          </w:p>
        </w:tc>
      </w:tr>
      <w:tr>
        <w:trPr>
          <w:tblHeader w:val="false"/>
        </w:trPr>
        <w:tc>
          <w:tcPr>
            <w:tcW w:type="dxa" w:w="2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Healthcare</w:t>
            </w:r>
          </w:p>
        </w:tc>
        <w:tc>
          <w:tcPr>
            <w:tcW w:type="dxa" w:w="428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Clinical note drafting (with human review), patient scheduling triage, insurance pre-auth drafting, policy lookup, HR and ops workflows.</w:t>
            </w:r>
          </w:p>
        </w:tc>
        <w:tc>
          <w:tcPr>
            <w:tcW w:type="dxa" w:w="308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HIPAA. PHI handling. BAA required. De-identification for training and examples. Clinician-in-the-loop on anything clinical.</w:t>
            </w:r>
          </w:p>
        </w:tc>
      </w:tr>
      <w:tr>
        <w:trPr>
          <w:tblHeader w:val="false"/>
        </w:trPr>
        <w:tc>
          <w:tcPr>
            <w:tcW w:type="dxa" w:w="2000"/>
            <w:tcBorders>
              <w:top w:val="single" w:color="CCCCCC" w:sz="4"/>
              <w:left w:val="single" w:color="CCCCCC" w:sz="4"/>
              <w:bottom w:val="single" w:color="CCCCCC" w:sz="4"/>
              <w:right w:val="single" w:color="CCCCCC" w:sz="4"/>
            </w:tcBorders>
            <w:shd w:fill="F5F8FA" w:val="clear"/>
            <w:tcMar>
              <w:top w:type="dxa" w:w="100"/>
              <w:left w:type="dxa" w:w="140"/>
              <w:bottom w:type="dxa" w:w="100"/>
              <w:right w:type="dxa" w:w="140"/>
            </w:tcMar>
          </w:tcPr>
          <w:p>
            <w:r>
              <w:rPr>
                <w:b w:val="false"/>
                <w:bCs w:val="false"/>
              </w:rPr>
              <w:t xml:space="preserve">Legal</w:t>
            </w:r>
          </w:p>
        </w:tc>
        <w:tc>
          <w:tcPr>
            <w:tcW w:type="dxa" w:w="4280"/>
            <w:tcBorders>
              <w:top w:val="single" w:color="CCCCCC" w:sz="4"/>
              <w:left w:val="single" w:color="CCCCCC" w:sz="4"/>
              <w:bottom w:val="single" w:color="CCCCCC" w:sz="4"/>
              <w:right w:val="single" w:color="CCCCCC" w:sz="4"/>
            </w:tcBorders>
            <w:shd w:fill="F5F8FA" w:val="clear"/>
            <w:tcMar>
              <w:top w:type="dxa" w:w="100"/>
              <w:left w:type="dxa" w:w="140"/>
              <w:bottom w:type="dxa" w:w="100"/>
              <w:right w:type="dxa" w:w="140"/>
            </w:tcMar>
          </w:tcPr>
          <w:p>
            <w:r>
              <w:rPr>
                <w:b w:val="false"/>
                <w:bCs w:val="false"/>
              </w:rPr>
              <w:t xml:space="preserve">Contract review and redlining, case summaries, deposition prep, client intake, matter summaries, document comparison.</w:t>
            </w:r>
          </w:p>
        </w:tc>
        <w:tc>
          <w:tcPr>
            <w:tcW w:type="dxa" w:w="3080"/>
            <w:tcBorders>
              <w:top w:val="single" w:color="CCCCCC" w:sz="4"/>
              <w:left w:val="single" w:color="CCCCCC" w:sz="4"/>
              <w:bottom w:val="single" w:color="CCCCCC" w:sz="4"/>
              <w:right w:val="single" w:color="CCCCCC" w:sz="4"/>
            </w:tcBorders>
            <w:shd w:fill="F5F8FA" w:val="clear"/>
            <w:tcMar>
              <w:top w:type="dxa" w:w="100"/>
              <w:left w:type="dxa" w:w="140"/>
              <w:bottom w:type="dxa" w:w="100"/>
              <w:right w:type="dxa" w:w="140"/>
            </w:tcMar>
          </w:tcPr>
          <w:p>
            <w:r>
              <w:rPr>
                <w:b w:val="false"/>
                <w:bCs w:val="false"/>
              </w:rPr>
              <w:t xml:space="preserve">Privilege. Confidentiality. Citation accuracy. Hallucinated case law is career-ending — Discernment cadence is mandatory.</w:t>
            </w:r>
          </w:p>
        </w:tc>
      </w:tr>
      <w:tr>
        <w:trPr>
          <w:tblHeader w:val="false"/>
        </w:trPr>
        <w:tc>
          <w:tcPr>
            <w:tcW w:type="dxa" w:w="2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Accounting / Finance</w:t>
            </w:r>
          </w:p>
        </w:tc>
        <w:tc>
          <w:tcPr>
            <w:tcW w:type="dxa" w:w="428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Document extraction, reconciliation assistance, client communication drafts, tax research, audit memo drafts, proposal generation.</w:t>
            </w:r>
          </w:p>
        </w:tc>
        <w:tc>
          <w:tcPr>
            <w:tcW w:type="dxa" w:w="308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Client confidentiality. PCI if handling cards. SOC 2 for service org clients. Data retention rules by state.</w:t>
            </w:r>
          </w:p>
        </w:tc>
      </w:tr>
      <w:tr>
        <w:trPr>
          <w:tblHeader w:val="false"/>
        </w:trPr>
        <w:tc>
          <w:tcPr>
            <w:tcW w:type="dxa" w:w="2000"/>
            <w:tcBorders>
              <w:top w:val="single" w:color="CCCCCC" w:sz="4"/>
              <w:left w:val="single" w:color="CCCCCC" w:sz="4"/>
              <w:bottom w:val="single" w:color="CCCCCC" w:sz="4"/>
              <w:right w:val="single" w:color="CCCCCC" w:sz="4"/>
            </w:tcBorders>
            <w:shd w:fill="F5F8FA" w:val="clear"/>
            <w:tcMar>
              <w:top w:type="dxa" w:w="100"/>
              <w:left w:type="dxa" w:w="140"/>
              <w:bottom w:type="dxa" w:w="100"/>
              <w:right w:type="dxa" w:w="140"/>
            </w:tcMar>
          </w:tcPr>
          <w:p>
            <w:r>
              <w:rPr>
                <w:b w:val="false"/>
                <w:bCs w:val="false"/>
              </w:rPr>
              <w:t xml:space="preserve">Professional Services (consulting, agencies, architects)</w:t>
            </w:r>
          </w:p>
        </w:tc>
        <w:tc>
          <w:tcPr>
            <w:tcW w:type="dxa" w:w="4280"/>
            <w:tcBorders>
              <w:top w:val="single" w:color="CCCCCC" w:sz="4"/>
              <w:left w:val="single" w:color="CCCCCC" w:sz="4"/>
              <w:bottom w:val="single" w:color="CCCCCC" w:sz="4"/>
              <w:right w:val="single" w:color="CCCCCC" w:sz="4"/>
            </w:tcBorders>
            <w:shd w:fill="F5F8FA" w:val="clear"/>
            <w:tcMar>
              <w:top w:type="dxa" w:w="100"/>
              <w:left w:type="dxa" w:w="140"/>
              <w:bottom w:type="dxa" w:w="100"/>
              <w:right w:type="dxa" w:w="140"/>
            </w:tcMar>
          </w:tcPr>
          <w:p>
            <w:r>
              <w:rPr>
                <w:b w:val="false"/>
                <w:bCs w:val="false"/>
              </w:rPr>
              <w:t xml:space="preserve">Proposal and SOW drafting, client deliverable first drafts, research, slide outlines, time-entry narratives, QBR prep.</w:t>
            </w:r>
          </w:p>
        </w:tc>
        <w:tc>
          <w:tcPr>
            <w:tcW w:type="dxa" w:w="3080"/>
            <w:tcBorders>
              <w:top w:val="single" w:color="CCCCCC" w:sz="4"/>
              <w:left w:val="single" w:color="CCCCCC" w:sz="4"/>
              <w:bottom w:val="single" w:color="CCCCCC" w:sz="4"/>
              <w:right w:val="single" w:color="CCCCCC" w:sz="4"/>
            </w:tcBorders>
            <w:shd w:fill="F5F8FA" w:val="clear"/>
            <w:tcMar>
              <w:top w:type="dxa" w:w="100"/>
              <w:left w:type="dxa" w:w="140"/>
              <w:bottom w:type="dxa" w:w="100"/>
              <w:right w:type="dxa" w:w="140"/>
            </w:tcMar>
          </w:tcPr>
          <w:p>
            <w:r>
              <w:rPr>
                <w:b w:val="false"/>
                <w:bCs w:val="false"/>
              </w:rPr>
              <w:t xml:space="preserve">IP in client deliverables. Confidentiality across competing clients. Data commingling risk.</w:t>
            </w:r>
          </w:p>
        </w:tc>
      </w:tr>
      <w:tr>
        <w:trPr>
          <w:tblHeader w:val="false"/>
        </w:trPr>
        <w:tc>
          <w:tcPr>
            <w:tcW w:type="dxa" w:w="2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Construction / Trades</w:t>
            </w:r>
          </w:p>
        </w:tc>
        <w:tc>
          <w:tcPr>
            <w:tcW w:type="dxa" w:w="428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Estimate drafting, submittal summaries, RFI responses, job-site report summaries, safety plan drafts, change order narratives.</w:t>
            </w:r>
          </w:p>
        </w:tc>
        <w:tc>
          <w:tcPr>
            <w:tcW w:type="dxa" w:w="308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Contract terms vary wildly by project. Plan-reading accuracy. Field vs. office usage patterns.</w:t>
            </w:r>
          </w:p>
        </w:tc>
      </w:tr>
      <w:tr>
        <w:trPr>
          <w:tblHeader w:val="false"/>
        </w:trPr>
        <w:tc>
          <w:tcPr>
            <w:tcW w:type="dxa" w:w="2000"/>
            <w:tcBorders>
              <w:top w:val="single" w:color="CCCCCC" w:sz="4"/>
              <w:left w:val="single" w:color="CCCCCC" w:sz="4"/>
              <w:bottom w:val="single" w:color="CCCCCC" w:sz="4"/>
              <w:right w:val="single" w:color="CCCCCC" w:sz="4"/>
            </w:tcBorders>
            <w:shd w:fill="F5F8FA" w:val="clear"/>
            <w:tcMar>
              <w:top w:type="dxa" w:w="100"/>
              <w:left w:type="dxa" w:w="140"/>
              <w:bottom w:type="dxa" w:w="100"/>
              <w:right w:type="dxa" w:w="140"/>
            </w:tcMar>
          </w:tcPr>
          <w:p>
            <w:r>
              <w:rPr>
                <w:b w:val="false"/>
                <w:bCs w:val="false"/>
              </w:rPr>
              <w:t xml:space="preserve">Retail / E-commerce</w:t>
            </w:r>
          </w:p>
        </w:tc>
        <w:tc>
          <w:tcPr>
            <w:tcW w:type="dxa" w:w="4280"/>
            <w:tcBorders>
              <w:top w:val="single" w:color="CCCCCC" w:sz="4"/>
              <w:left w:val="single" w:color="CCCCCC" w:sz="4"/>
              <w:bottom w:val="single" w:color="CCCCCC" w:sz="4"/>
              <w:right w:val="single" w:color="CCCCCC" w:sz="4"/>
            </w:tcBorders>
            <w:shd w:fill="F5F8FA" w:val="clear"/>
            <w:tcMar>
              <w:top w:type="dxa" w:w="100"/>
              <w:left w:type="dxa" w:w="140"/>
              <w:bottom w:type="dxa" w:w="100"/>
              <w:right w:type="dxa" w:w="140"/>
            </w:tcMar>
          </w:tcPr>
          <w:p>
            <w:r>
              <w:rPr>
                <w:b w:val="false"/>
                <w:bCs w:val="false"/>
              </w:rPr>
              <w:t xml:space="preserve">Product descriptions, customer service drafting, review summarization, merchandising analytics, marketing copy at SKU volume.</w:t>
            </w:r>
          </w:p>
        </w:tc>
        <w:tc>
          <w:tcPr>
            <w:tcW w:type="dxa" w:w="3080"/>
            <w:tcBorders>
              <w:top w:val="single" w:color="CCCCCC" w:sz="4"/>
              <w:left w:val="single" w:color="CCCCCC" w:sz="4"/>
              <w:bottom w:val="single" w:color="CCCCCC" w:sz="4"/>
              <w:right w:val="single" w:color="CCCCCC" w:sz="4"/>
            </w:tcBorders>
            <w:shd w:fill="F5F8FA" w:val="clear"/>
            <w:tcMar>
              <w:top w:type="dxa" w:w="100"/>
              <w:left w:type="dxa" w:w="140"/>
              <w:bottom w:type="dxa" w:w="100"/>
              <w:right w:type="dxa" w:w="140"/>
            </w:tcMar>
          </w:tcPr>
          <w:p>
            <w:r>
              <w:rPr>
                <w:b w:val="false"/>
                <w:bCs w:val="false"/>
              </w:rPr>
              <w:t xml:space="preserve">PCI. Brand voice consistency. Customer PII.</w:t>
            </w:r>
          </w:p>
        </w:tc>
      </w:tr>
      <w:tr>
        <w:trPr>
          <w:tblHeader w:val="false"/>
        </w:trPr>
        <w:tc>
          <w:tcPr>
            <w:tcW w:type="dxa" w:w="2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Nonprofit</w:t>
            </w:r>
          </w:p>
        </w:tc>
        <w:tc>
          <w:tcPr>
            <w:tcW w:type="dxa" w:w="428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Grant drafting, donor communications, volunteer onboarding, program reporting, impact storytelling.</w:t>
            </w:r>
          </w:p>
        </w:tc>
        <w:tc>
          <w:tcPr>
            <w:tcW w:type="dxa" w:w="308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Donor PII. Grant compliance. Small budgets — plan selection matters more.</w:t>
            </w:r>
          </w:p>
        </w:tc>
      </w:tr>
      <w:tr>
        <w:trPr>
          <w:tblHeader w:val="false"/>
        </w:trPr>
        <w:tc>
          <w:tcPr>
            <w:tcW w:type="dxa" w:w="2000"/>
            <w:tcBorders>
              <w:top w:val="single" w:color="CCCCCC" w:sz="4"/>
              <w:left w:val="single" w:color="CCCCCC" w:sz="4"/>
              <w:bottom w:val="single" w:color="CCCCCC" w:sz="4"/>
              <w:right w:val="single" w:color="CCCCCC" w:sz="4"/>
            </w:tcBorders>
            <w:shd w:fill="F5F8FA" w:val="clear"/>
            <w:tcMar>
              <w:top w:type="dxa" w:w="100"/>
              <w:left w:type="dxa" w:w="140"/>
              <w:bottom w:type="dxa" w:w="100"/>
              <w:right w:type="dxa" w:w="140"/>
            </w:tcMar>
          </w:tcPr>
          <w:p>
            <w:r>
              <w:rPr>
                <w:b w:val="false"/>
                <w:bCs w:val="false"/>
              </w:rPr>
              <w:t xml:space="preserve">Manufacturing / Distribution</w:t>
            </w:r>
          </w:p>
        </w:tc>
        <w:tc>
          <w:tcPr>
            <w:tcW w:type="dxa" w:w="4280"/>
            <w:tcBorders>
              <w:top w:val="single" w:color="CCCCCC" w:sz="4"/>
              <w:left w:val="single" w:color="CCCCCC" w:sz="4"/>
              <w:bottom w:val="single" w:color="CCCCCC" w:sz="4"/>
              <w:right w:val="single" w:color="CCCCCC" w:sz="4"/>
            </w:tcBorders>
            <w:shd w:fill="F5F8FA" w:val="clear"/>
            <w:tcMar>
              <w:top w:type="dxa" w:w="100"/>
              <w:left w:type="dxa" w:w="140"/>
              <w:bottom w:type="dxa" w:w="100"/>
              <w:right w:type="dxa" w:w="140"/>
            </w:tcMar>
          </w:tcPr>
          <w:p>
            <w:r>
              <w:rPr>
                <w:b w:val="false"/>
                <w:bCs w:val="false"/>
              </w:rPr>
              <w:t xml:space="preserve">SOP drafting, quality report summaries, supplier communications, RFQ drafting, safety plan updates, shift-handoff summaries.</w:t>
            </w:r>
          </w:p>
        </w:tc>
        <w:tc>
          <w:tcPr>
            <w:tcW w:type="dxa" w:w="3080"/>
            <w:tcBorders>
              <w:top w:val="single" w:color="CCCCCC" w:sz="4"/>
              <w:left w:val="single" w:color="CCCCCC" w:sz="4"/>
              <w:bottom w:val="single" w:color="CCCCCC" w:sz="4"/>
              <w:right w:val="single" w:color="CCCCCC" w:sz="4"/>
            </w:tcBorders>
            <w:shd w:fill="F5F8FA" w:val="clear"/>
            <w:tcMar>
              <w:top w:type="dxa" w:w="100"/>
              <w:left w:type="dxa" w:w="140"/>
              <w:bottom w:type="dxa" w:w="100"/>
              <w:right w:type="dxa" w:w="140"/>
            </w:tcMar>
          </w:tcPr>
          <w:p>
            <w:r>
              <w:rPr>
                <w:b w:val="false"/>
                <w:bCs w:val="false"/>
              </w:rPr>
              <w:t xml:space="preserve">Trade secrets. Export control in some sectors. Operational reliability.</w:t>
            </w:r>
          </w:p>
        </w:tc>
      </w:tr>
    </w:tbl>
    <w:p>
      <w:pPr>
        <w:pStyle w:val="Heading2"/>
      </w:pPr>
      <w:r>
        <w:t xml:space="preserve">3.3 Where AI is not ready yet</w:t>
      </w:r>
    </w:p>
    <w:p>
      <w:pPr>
        <w:spacing w:after="80" w:before="80"/>
      </w:pPr>
      <w:r>
        <w:t xml:space="preserve">Being straight with clients about limits builds more trust than oversell. Katana should be prepared to say "no, not yet" on:</w:t>
      </w:r>
    </w:p>
    <w:p>
      <w:pPr>
        <w:pStyle w:val="ListParagraph"/>
        <w:numPr>
          <w:ilvl w:val="0"/>
          <w:numId w:val="2"/>
        </w:numPr>
        <w:spacing w:after="40" w:before="40"/>
      </w:pPr>
      <w:r>
        <w:t xml:space="preserve">High-stakes irreversible decisions without a human in the loop — medical diagnosis, legal filings, regulatory submissions, anything going directly to a customer on a compliance-sensitive matter.</w:t>
      </w:r>
    </w:p>
    <w:p>
      <w:pPr>
        <w:pStyle w:val="ListParagraph"/>
        <w:numPr>
          <w:ilvl w:val="0"/>
          <w:numId w:val="2"/>
        </w:numPr>
        <w:spacing w:after="40" w:before="40"/>
      </w:pPr>
      <w:r>
        <w:t xml:space="preserve">Tasks requiring real-time verified facts where the AI has no access to source systems — pricing, inventory, current regulations. Always wire up retrieval or tools for these.</w:t>
      </w:r>
    </w:p>
    <w:p>
      <w:pPr>
        <w:pStyle w:val="ListParagraph"/>
        <w:numPr>
          <w:ilvl w:val="0"/>
          <w:numId w:val="2"/>
        </w:numPr>
        <w:spacing w:after="40" w:before="40"/>
      </w:pPr>
      <w:r>
        <w:t xml:space="preserve">Tasks requiring cultural, emotional, or physical-presence judgment — firing, grievances, sensitive HR work, executive coaching.</w:t>
      </w:r>
    </w:p>
    <w:p>
      <w:pPr>
        <w:pStyle w:val="ListParagraph"/>
        <w:numPr>
          <w:ilvl w:val="0"/>
          <w:numId w:val="2"/>
        </w:numPr>
        <w:spacing w:after="40" w:before="40"/>
      </w:pPr>
      <w:r>
        <w:t xml:space="preserve">Tasks where error rates above a few percent would be catastrophic and review cost equals doing it yourself — then AI is not saving time.</w:t>
      </w:r>
    </w:p>
    <w:p>
      <w:pPr>
        <w:pStyle w:val="Heading1"/>
      </w:pPr>
      <w:r>
        <w:t xml:space="preserve">4. What Katana Should Offer — the AI Service Catalog</w:t>
      </w:r>
    </w:p>
    <w:p>
      <w:pPr>
        <w:spacing w:after="80" w:before="80"/>
      </w:pPr>
      <w:r>
        <w:t xml:space="preserve">Eight offerings, designed to slot into Katana’s existing service catalog alongside managed IT, cybersecurity, cloud, and vCIO. Each has a shape, a price model, a 4D anchor, and a concrete deliverable.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1600"/>
        <w:gridCol w:w="3560"/>
        <w:gridCol w:w="1800"/>
      </w:tblGrid>
      <w:tr>
        <w:trPr>
          <w:tblHeader/>
        </w:trPr>
        <w:tc>
          <w:tcPr>
            <w:tcW w:type="dxa" w:w="400"/>
            <w:tcBorders>
              <w:top w:val="single" w:color="CCCCCC" w:sz="4"/>
              <w:left w:val="single" w:color="CCCCCC" w:sz="4"/>
              <w:bottom w:val="single" w:color="CCCCCC" w:sz="4"/>
              <w:right w:val="single" w:color="CCCCCC" w:sz="4"/>
            </w:tcBorders>
            <w:shd w:fill="D5E8F0" w:val="clear"/>
            <w:tcMar>
              <w:top w:type="dxa" w:w="100"/>
              <w:left w:type="dxa" w:w="140"/>
              <w:bottom w:type="dxa" w:w="100"/>
              <w:right w:type="dxa" w:w="140"/>
            </w:tcMar>
          </w:tcPr>
          <w:p>
            <w:r>
              <w:rPr>
                <w:b/>
                <w:bCs/>
              </w:rPr>
              <w:t xml:space="preserve">#</w:t>
            </w:r>
          </w:p>
        </w:tc>
        <w:tc>
          <w:tcPr>
            <w:tcW w:type="dxa" w:w="2000"/>
            <w:tcBorders>
              <w:top w:val="single" w:color="CCCCCC" w:sz="4"/>
              <w:left w:val="single" w:color="CCCCCC" w:sz="4"/>
              <w:bottom w:val="single" w:color="CCCCCC" w:sz="4"/>
              <w:right w:val="single" w:color="CCCCCC" w:sz="4"/>
            </w:tcBorders>
            <w:shd w:fill="D5E8F0" w:val="clear"/>
            <w:tcMar>
              <w:top w:type="dxa" w:w="100"/>
              <w:left w:type="dxa" w:w="140"/>
              <w:bottom w:type="dxa" w:w="100"/>
              <w:right w:type="dxa" w:w="140"/>
            </w:tcMar>
          </w:tcPr>
          <w:p>
            <w:r>
              <w:rPr>
                <w:b/>
                <w:bCs/>
              </w:rPr>
              <w:t xml:space="preserve">Offering</w:t>
            </w:r>
          </w:p>
        </w:tc>
        <w:tc>
          <w:tcPr>
            <w:tcW w:type="dxa" w:w="1600"/>
            <w:tcBorders>
              <w:top w:val="single" w:color="CCCCCC" w:sz="4"/>
              <w:left w:val="single" w:color="CCCCCC" w:sz="4"/>
              <w:bottom w:val="single" w:color="CCCCCC" w:sz="4"/>
              <w:right w:val="single" w:color="CCCCCC" w:sz="4"/>
            </w:tcBorders>
            <w:shd w:fill="D5E8F0" w:val="clear"/>
            <w:tcMar>
              <w:top w:type="dxa" w:w="100"/>
              <w:left w:type="dxa" w:w="140"/>
              <w:bottom w:type="dxa" w:w="100"/>
              <w:right w:type="dxa" w:w="140"/>
            </w:tcMar>
          </w:tcPr>
          <w:p>
            <w:r>
              <w:rPr>
                <w:b/>
                <w:bCs/>
              </w:rPr>
              <w:t xml:space="preserve">Shape</w:t>
            </w:r>
          </w:p>
        </w:tc>
        <w:tc>
          <w:tcPr>
            <w:tcW w:type="dxa" w:w="3560"/>
            <w:tcBorders>
              <w:top w:val="single" w:color="CCCCCC" w:sz="4"/>
              <w:left w:val="single" w:color="CCCCCC" w:sz="4"/>
              <w:bottom w:val="single" w:color="CCCCCC" w:sz="4"/>
              <w:right w:val="single" w:color="CCCCCC" w:sz="4"/>
            </w:tcBorders>
            <w:shd w:fill="D5E8F0" w:val="clear"/>
            <w:tcMar>
              <w:top w:type="dxa" w:w="100"/>
              <w:left w:type="dxa" w:w="140"/>
              <w:bottom w:type="dxa" w:w="100"/>
              <w:right w:type="dxa" w:w="140"/>
            </w:tcMar>
          </w:tcPr>
          <w:p>
            <w:r>
              <w:rPr>
                <w:b/>
                <w:bCs/>
              </w:rPr>
              <w:t xml:space="preserve">What the client gets</w:t>
            </w:r>
          </w:p>
        </w:tc>
        <w:tc>
          <w:tcPr>
            <w:tcW w:type="dxa" w:w="1800"/>
            <w:tcBorders>
              <w:top w:val="single" w:color="CCCCCC" w:sz="4"/>
              <w:left w:val="single" w:color="CCCCCC" w:sz="4"/>
              <w:bottom w:val="single" w:color="CCCCCC" w:sz="4"/>
              <w:right w:val="single" w:color="CCCCCC" w:sz="4"/>
            </w:tcBorders>
            <w:shd w:fill="D5E8F0" w:val="clear"/>
            <w:tcMar>
              <w:top w:type="dxa" w:w="100"/>
              <w:left w:type="dxa" w:w="140"/>
              <w:bottom w:type="dxa" w:w="100"/>
              <w:right w:type="dxa" w:w="140"/>
            </w:tcMar>
          </w:tcPr>
          <w:p>
            <w:r>
              <w:rPr>
                <w:b/>
                <w:bCs/>
              </w:rPr>
              <w:t xml:space="preserve">4D anchor</w:t>
            </w:r>
          </w:p>
        </w:tc>
      </w:tr>
      <w:tr>
        <w:trPr>
          <w:tblHeader w:val="false"/>
        </w:trPr>
        <w:tc>
          <w:tcPr>
            <w:tcW w:type="dxa" w:w="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1</w:t>
            </w:r>
          </w:p>
        </w:tc>
        <w:tc>
          <w:tcPr>
            <w:tcW w:type="dxa" w:w="2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AI Readiness Assessment</w:t>
            </w:r>
          </w:p>
        </w:tc>
        <w:tc>
          <w:tcPr>
            <w:tcW w:type="dxa" w:w="16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2 weeks, fixed price, one-time</w:t>
            </w:r>
          </w:p>
        </w:tc>
        <w:tc>
          <w:tcPr>
            <w:tcW w:type="dxa" w:w="3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Scored 4D report, prioritized task/role map, 90-day roadmap with priced options.</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Delegation (primary)</w:t>
            </w:r>
          </w:p>
        </w:tc>
      </w:tr>
      <w:tr>
        <w:trPr>
          <w:tblHeader w:val="false"/>
        </w:trPr>
        <w:tc>
          <w:tcPr>
            <w:tcW w:type="dxa" w:w="400"/>
            <w:tcBorders>
              <w:top w:val="single" w:color="CCCCCC" w:sz="4"/>
              <w:left w:val="single" w:color="CCCCCC" w:sz="4"/>
              <w:bottom w:val="single" w:color="CCCCCC" w:sz="4"/>
              <w:right w:val="single" w:color="CCCCCC" w:sz="4"/>
            </w:tcBorders>
            <w:shd w:fill="F5F8FA" w:val="clear"/>
            <w:tcMar>
              <w:top w:type="dxa" w:w="100"/>
              <w:left w:type="dxa" w:w="140"/>
              <w:bottom w:type="dxa" w:w="100"/>
              <w:right w:type="dxa" w:w="140"/>
            </w:tcMar>
          </w:tcPr>
          <w:p>
            <w:r>
              <w:rPr>
                <w:b w:val="false"/>
                <w:bCs w:val="false"/>
              </w:rPr>
              <w:t xml:space="preserve">2</w:t>
            </w:r>
          </w:p>
        </w:tc>
        <w:tc>
          <w:tcPr>
            <w:tcW w:type="dxa" w:w="2000"/>
            <w:tcBorders>
              <w:top w:val="single" w:color="CCCCCC" w:sz="4"/>
              <w:left w:val="single" w:color="CCCCCC" w:sz="4"/>
              <w:bottom w:val="single" w:color="CCCCCC" w:sz="4"/>
              <w:right w:val="single" w:color="CCCCCC" w:sz="4"/>
            </w:tcBorders>
            <w:shd w:fill="F5F8FA" w:val="clear"/>
            <w:tcMar>
              <w:top w:type="dxa" w:w="100"/>
              <w:left w:type="dxa" w:w="140"/>
              <w:bottom w:type="dxa" w:w="100"/>
              <w:right w:type="dxa" w:w="140"/>
            </w:tcMar>
          </w:tcPr>
          <w:p>
            <w:r>
              <w:rPr>
                <w:b w:val="false"/>
                <w:bCs w:val="false"/>
              </w:rPr>
              <w:t xml:space="preserve">AI Onboarding / Pilot Deployment</w:t>
            </w:r>
          </w:p>
        </w:tc>
        <w:tc>
          <w:tcPr>
            <w:tcW w:type="dxa" w:w="1600"/>
            <w:tcBorders>
              <w:top w:val="single" w:color="CCCCCC" w:sz="4"/>
              <w:left w:val="single" w:color="CCCCCC" w:sz="4"/>
              <w:bottom w:val="single" w:color="CCCCCC" w:sz="4"/>
              <w:right w:val="single" w:color="CCCCCC" w:sz="4"/>
            </w:tcBorders>
            <w:shd w:fill="F5F8FA" w:val="clear"/>
            <w:tcMar>
              <w:top w:type="dxa" w:w="100"/>
              <w:left w:type="dxa" w:w="140"/>
              <w:bottom w:type="dxa" w:w="100"/>
              <w:right w:type="dxa" w:w="140"/>
            </w:tcMar>
          </w:tcPr>
          <w:p>
            <w:r>
              <w:rPr>
                <w:b w:val="false"/>
                <w:bCs w:val="false"/>
              </w:rPr>
              <w:t xml:space="preserve">30–60 days, fixed price</w:t>
            </w:r>
          </w:p>
        </w:tc>
        <w:tc>
          <w:tcPr>
            <w:tcW w:type="dxa" w:w="3560"/>
            <w:tcBorders>
              <w:top w:val="single" w:color="CCCCCC" w:sz="4"/>
              <w:left w:val="single" w:color="CCCCCC" w:sz="4"/>
              <w:bottom w:val="single" w:color="CCCCCC" w:sz="4"/>
              <w:right w:val="single" w:color="CCCCCC" w:sz="4"/>
            </w:tcBorders>
            <w:shd w:fill="F5F8FA" w:val="clear"/>
            <w:tcMar>
              <w:top w:type="dxa" w:w="100"/>
              <w:left w:type="dxa" w:w="140"/>
              <w:bottom w:type="dxa" w:w="100"/>
              <w:right w:type="dxa" w:w="140"/>
            </w:tcMar>
          </w:tcPr>
          <w:p>
            <w:r>
              <w:rPr>
                <w:b w:val="false"/>
                <w:bCs w:val="false"/>
              </w:rPr>
              <w:t xml:space="preserve">Provider + plan selection, tenant setup, SSO/SCIM, 1–3 live use cases, baseline usage policy, role-based training.</w:t>
            </w:r>
          </w:p>
        </w:tc>
        <w:tc>
          <w:tcPr>
            <w:tcW w:type="dxa" w:w="1800"/>
            <w:tcBorders>
              <w:top w:val="single" w:color="CCCCCC" w:sz="4"/>
              <w:left w:val="single" w:color="CCCCCC" w:sz="4"/>
              <w:bottom w:val="single" w:color="CCCCCC" w:sz="4"/>
              <w:right w:val="single" w:color="CCCCCC" w:sz="4"/>
            </w:tcBorders>
            <w:shd w:fill="F5F8FA" w:val="clear"/>
            <w:tcMar>
              <w:top w:type="dxa" w:w="100"/>
              <w:left w:type="dxa" w:w="140"/>
              <w:bottom w:type="dxa" w:w="100"/>
              <w:right w:type="dxa" w:w="140"/>
            </w:tcMar>
          </w:tcPr>
          <w:p>
            <w:r>
              <w:rPr>
                <w:b w:val="false"/>
                <w:bCs w:val="false"/>
              </w:rPr>
              <w:t xml:space="preserve">Delegation + Description</w:t>
            </w:r>
          </w:p>
        </w:tc>
      </w:tr>
      <w:tr>
        <w:trPr>
          <w:tblHeader w:val="false"/>
        </w:trPr>
        <w:tc>
          <w:tcPr>
            <w:tcW w:type="dxa" w:w="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3</w:t>
            </w:r>
          </w:p>
        </w:tc>
        <w:tc>
          <w:tcPr>
            <w:tcW w:type="dxa" w:w="2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AI Enablement Retainer</w:t>
            </w:r>
          </w:p>
        </w:tc>
        <w:tc>
          <w:tcPr>
            <w:tcW w:type="dxa" w:w="16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Monthly</w:t>
            </w:r>
          </w:p>
        </w:tc>
        <w:tc>
          <w:tcPr>
            <w:tcW w:type="dxa" w:w="3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Prompt library curation, quarterly role training, new use-case rollouts, "AI concierge" support hours for the client team.</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Description + Discernment</w:t>
            </w:r>
          </w:p>
        </w:tc>
      </w:tr>
      <w:tr>
        <w:trPr>
          <w:tblHeader w:val="false"/>
        </w:trPr>
        <w:tc>
          <w:tcPr>
            <w:tcW w:type="dxa" w:w="400"/>
            <w:tcBorders>
              <w:top w:val="single" w:color="CCCCCC" w:sz="4"/>
              <w:left w:val="single" w:color="CCCCCC" w:sz="4"/>
              <w:bottom w:val="single" w:color="CCCCCC" w:sz="4"/>
              <w:right w:val="single" w:color="CCCCCC" w:sz="4"/>
            </w:tcBorders>
            <w:shd w:fill="F5F8FA" w:val="clear"/>
            <w:tcMar>
              <w:top w:type="dxa" w:w="100"/>
              <w:left w:type="dxa" w:w="140"/>
              <w:bottom w:type="dxa" w:w="100"/>
              <w:right w:type="dxa" w:w="140"/>
            </w:tcMar>
          </w:tcPr>
          <w:p>
            <w:r>
              <w:rPr>
                <w:b w:val="false"/>
                <w:bCs w:val="false"/>
              </w:rPr>
              <w:t xml:space="preserve">4</w:t>
            </w:r>
          </w:p>
        </w:tc>
        <w:tc>
          <w:tcPr>
            <w:tcW w:type="dxa" w:w="2000"/>
            <w:tcBorders>
              <w:top w:val="single" w:color="CCCCCC" w:sz="4"/>
              <w:left w:val="single" w:color="CCCCCC" w:sz="4"/>
              <w:bottom w:val="single" w:color="CCCCCC" w:sz="4"/>
              <w:right w:val="single" w:color="CCCCCC" w:sz="4"/>
            </w:tcBorders>
            <w:shd w:fill="F5F8FA" w:val="clear"/>
            <w:tcMar>
              <w:top w:type="dxa" w:w="100"/>
              <w:left w:type="dxa" w:w="140"/>
              <w:bottom w:type="dxa" w:w="100"/>
              <w:right w:type="dxa" w:w="140"/>
            </w:tcMar>
          </w:tcPr>
          <w:p>
            <w:r>
              <w:rPr>
                <w:b w:val="false"/>
                <w:bCs w:val="false"/>
              </w:rPr>
              <w:t xml:space="preserve">AI Governance &amp; Compliance</w:t>
            </w:r>
          </w:p>
        </w:tc>
        <w:tc>
          <w:tcPr>
            <w:tcW w:type="dxa" w:w="1600"/>
            <w:tcBorders>
              <w:top w:val="single" w:color="CCCCCC" w:sz="4"/>
              <w:left w:val="single" w:color="CCCCCC" w:sz="4"/>
              <w:bottom w:val="single" w:color="CCCCCC" w:sz="4"/>
              <w:right w:val="single" w:color="CCCCCC" w:sz="4"/>
            </w:tcBorders>
            <w:shd w:fill="F5F8FA" w:val="clear"/>
            <w:tcMar>
              <w:top w:type="dxa" w:w="100"/>
              <w:left w:type="dxa" w:w="140"/>
              <w:bottom w:type="dxa" w:w="100"/>
              <w:right w:type="dxa" w:w="140"/>
            </w:tcMar>
          </w:tcPr>
          <w:p>
            <w:r>
              <w:rPr>
                <w:b w:val="false"/>
                <w:bCs w:val="false"/>
              </w:rPr>
              <w:t xml:space="preserve">Monthly or quarterly</w:t>
            </w:r>
          </w:p>
        </w:tc>
        <w:tc>
          <w:tcPr>
            <w:tcW w:type="dxa" w:w="3560"/>
            <w:tcBorders>
              <w:top w:val="single" w:color="CCCCCC" w:sz="4"/>
              <w:left w:val="single" w:color="CCCCCC" w:sz="4"/>
              <w:bottom w:val="single" w:color="CCCCCC" w:sz="4"/>
              <w:right w:val="single" w:color="CCCCCC" w:sz="4"/>
            </w:tcBorders>
            <w:shd w:fill="F5F8FA" w:val="clear"/>
            <w:tcMar>
              <w:top w:type="dxa" w:w="100"/>
              <w:left w:type="dxa" w:w="140"/>
              <w:bottom w:type="dxa" w:w="100"/>
              <w:right w:type="dxa" w:w="140"/>
            </w:tcMar>
          </w:tcPr>
          <w:p>
            <w:r>
              <w:rPr>
                <w:b w:val="false"/>
                <w:bCs w:val="false"/>
              </w:rPr>
              <w:t xml:space="preserve">Living usage policy, DLP posture, audit trail review, vendor/model risk review, compliance mapping (HIPAA/PCI/SOC 2), incident response.</w:t>
            </w:r>
          </w:p>
        </w:tc>
        <w:tc>
          <w:tcPr>
            <w:tcW w:type="dxa" w:w="1800"/>
            <w:tcBorders>
              <w:top w:val="single" w:color="CCCCCC" w:sz="4"/>
              <w:left w:val="single" w:color="CCCCCC" w:sz="4"/>
              <w:bottom w:val="single" w:color="CCCCCC" w:sz="4"/>
              <w:right w:val="single" w:color="CCCCCC" w:sz="4"/>
            </w:tcBorders>
            <w:shd w:fill="F5F8FA" w:val="clear"/>
            <w:tcMar>
              <w:top w:type="dxa" w:w="100"/>
              <w:left w:type="dxa" w:w="140"/>
              <w:bottom w:type="dxa" w:w="100"/>
              <w:right w:type="dxa" w:w="140"/>
            </w:tcMar>
          </w:tcPr>
          <w:p>
            <w:r>
              <w:rPr>
                <w:b w:val="false"/>
                <w:bCs w:val="false"/>
              </w:rPr>
              <w:t xml:space="preserve">Diligence (primary)</w:t>
            </w:r>
          </w:p>
        </w:tc>
      </w:tr>
      <w:tr>
        <w:trPr>
          <w:tblHeader w:val="false"/>
        </w:trPr>
        <w:tc>
          <w:tcPr>
            <w:tcW w:type="dxa" w:w="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5</w:t>
            </w:r>
          </w:p>
        </w:tc>
        <w:tc>
          <w:tcPr>
            <w:tcW w:type="dxa" w:w="2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Managed AI Operations</w:t>
            </w:r>
          </w:p>
        </w:tc>
        <w:tc>
          <w:tcPr>
            <w:tcW w:type="dxa" w:w="16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Monthly retainer (bundled)</w:t>
            </w:r>
          </w:p>
        </w:tc>
        <w:tc>
          <w:tcPr>
            <w:tcW w:type="dxa" w:w="3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Everything above packaged as a monthly managed service line on the MSP invoice. Helpdesk, user provisioning, tool admin.</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All four Ds</w:t>
            </w:r>
          </w:p>
        </w:tc>
      </w:tr>
      <w:tr>
        <w:trPr>
          <w:tblHeader w:val="false"/>
        </w:trPr>
        <w:tc>
          <w:tcPr>
            <w:tcW w:type="dxa" w:w="400"/>
            <w:tcBorders>
              <w:top w:val="single" w:color="CCCCCC" w:sz="4"/>
              <w:left w:val="single" w:color="CCCCCC" w:sz="4"/>
              <w:bottom w:val="single" w:color="CCCCCC" w:sz="4"/>
              <w:right w:val="single" w:color="CCCCCC" w:sz="4"/>
            </w:tcBorders>
            <w:shd w:fill="F5F8FA" w:val="clear"/>
            <w:tcMar>
              <w:top w:type="dxa" w:w="100"/>
              <w:left w:type="dxa" w:w="140"/>
              <w:bottom w:type="dxa" w:w="100"/>
              <w:right w:type="dxa" w:w="140"/>
            </w:tcMar>
          </w:tcPr>
          <w:p>
            <w:r>
              <w:rPr>
                <w:b w:val="false"/>
                <w:bCs w:val="false"/>
              </w:rPr>
              <w:t xml:space="preserve">6</w:t>
            </w:r>
          </w:p>
        </w:tc>
        <w:tc>
          <w:tcPr>
            <w:tcW w:type="dxa" w:w="2000"/>
            <w:tcBorders>
              <w:top w:val="single" w:color="CCCCCC" w:sz="4"/>
              <w:left w:val="single" w:color="CCCCCC" w:sz="4"/>
              <w:bottom w:val="single" w:color="CCCCCC" w:sz="4"/>
              <w:right w:val="single" w:color="CCCCCC" w:sz="4"/>
            </w:tcBorders>
            <w:shd w:fill="F5F8FA" w:val="clear"/>
            <w:tcMar>
              <w:top w:type="dxa" w:w="100"/>
              <w:left w:type="dxa" w:w="140"/>
              <w:bottom w:type="dxa" w:w="100"/>
              <w:right w:type="dxa" w:w="140"/>
            </w:tcMar>
          </w:tcPr>
          <w:p>
            <w:r>
              <w:rPr>
                <w:b w:val="false"/>
                <w:bCs w:val="false"/>
              </w:rPr>
              <w:t xml:space="preserve">Custom Agents / Skills / Automations</w:t>
            </w:r>
          </w:p>
        </w:tc>
        <w:tc>
          <w:tcPr>
            <w:tcW w:type="dxa" w:w="1600"/>
            <w:tcBorders>
              <w:top w:val="single" w:color="CCCCCC" w:sz="4"/>
              <w:left w:val="single" w:color="CCCCCC" w:sz="4"/>
              <w:bottom w:val="single" w:color="CCCCCC" w:sz="4"/>
              <w:right w:val="single" w:color="CCCCCC" w:sz="4"/>
            </w:tcBorders>
            <w:shd w:fill="F5F8FA" w:val="clear"/>
            <w:tcMar>
              <w:top w:type="dxa" w:w="100"/>
              <w:left w:type="dxa" w:w="140"/>
              <w:bottom w:type="dxa" w:w="100"/>
              <w:right w:type="dxa" w:w="140"/>
            </w:tcMar>
          </w:tcPr>
          <w:p>
            <w:r>
              <w:rPr>
                <w:b w:val="false"/>
                <w:bCs w:val="false"/>
              </w:rPr>
              <w:t xml:space="preserve">Project-based</w:t>
            </w:r>
          </w:p>
        </w:tc>
        <w:tc>
          <w:tcPr>
            <w:tcW w:type="dxa" w:w="3560"/>
            <w:tcBorders>
              <w:top w:val="single" w:color="CCCCCC" w:sz="4"/>
              <w:left w:val="single" w:color="CCCCCC" w:sz="4"/>
              <w:bottom w:val="single" w:color="CCCCCC" w:sz="4"/>
              <w:right w:val="single" w:color="CCCCCC" w:sz="4"/>
            </w:tcBorders>
            <w:shd w:fill="F5F8FA" w:val="clear"/>
            <w:tcMar>
              <w:top w:type="dxa" w:w="100"/>
              <w:left w:type="dxa" w:w="140"/>
              <w:bottom w:type="dxa" w:w="100"/>
              <w:right w:type="dxa" w:w="140"/>
            </w:tcMar>
          </w:tcPr>
          <w:p>
            <w:r>
              <w:rPr>
                <w:b w:val="false"/>
                <w:bCs w:val="false"/>
              </w:rPr>
              <w:t xml:space="preserve">Purpose-built AI workers tuned to the client’s processes — e.g., "draft our proposals," "triage our email," "summarize our CRM."</w:t>
            </w:r>
          </w:p>
        </w:tc>
        <w:tc>
          <w:tcPr>
            <w:tcW w:type="dxa" w:w="1800"/>
            <w:tcBorders>
              <w:top w:val="single" w:color="CCCCCC" w:sz="4"/>
              <w:left w:val="single" w:color="CCCCCC" w:sz="4"/>
              <w:bottom w:val="single" w:color="CCCCCC" w:sz="4"/>
              <w:right w:val="single" w:color="CCCCCC" w:sz="4"/>
            </w:tcBorders>
            <w:shd w:fill="F5F8FA" w:val="clear"/>
            <w:tcMar>
              <w:top w:type="dxa" w:w="100"/>
              <w:left w:type="dxa" w:w="140"/>
              <w:bottom w:type="dxa" w:w="100"/>
              <w:right w:type="dxa" w:w="140"/>
            </w:tcMar>
          </w:tcPr>
          <w:p>
            <w:r>
              <w:rPr>
                <w:b w:val="false"/>
                <w:bCs w:val="false"/>
              </w:rPr>
              <w:t xml:space="preserve">Delegation + Description</w:t>
            </w:r>
          </w:p>
        </w:tc>
      </w:tr>
      <w:tr>
        <w:trPr>
          <w:tblHeader w:val="false"/>
        </w:trPr>
        <w:tc>
          <w:tcPr>
            <w:tcW w:type="dxa" w:w="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7</w:t>
            </w:r>
          </w:p>
        </w:tc>
        <w:tc>
          <w:tcPr>
            <w:tcW w:type="dxa" w:w="2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AI Security Program</w:t>
            </w:r>
          </w:p>
        </w:tc>
        <w:tc>
          <w:tcPr>
            <w:tcW w:type="dxa" w:w="16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Project + retainer</w:t>
            </w:r>
          </w:p>
        </w:tc>
        <w:tc>
          <w:tcPr>
            <w:tcW w:type="dxa" w:w="3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DLP deployment, shadow-AI audit, prompt-injection hardening for agent workflows, tenant isolation review.</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Diligence (primary)</w:t>
            </w:r>
          </w:p>
        </w:tc>
      </w:tr>
      <w:tr>
        <w:trPr>
          <w:tblHeader w:val="false"/>
        </w:trPr>
        <w:tc>
          <w:tcPr>
            <w:tcW w:type="dxa" w:w="400"/>
            <w:tcBorders>
              <w:top w:val="single" w:color="CCCCCC" w:sz="4"/>
              <w:left w:val="single" w:color="CCCCCC" w:sz="4"/>
              <w:bottom w:val="single" w:color="CCCCCC" w:sz="4"/>
              <w:right w:val="single" w:color="CCCCCC" w:sz="4"/>
            </w:tcBorders>
            <w:shd w:fill="F5F8FA" w:val="clear"/>
            <w:tcMar>
              <w:top w:type="dxa" w:w="100"/>
              <w:left w:type="dxa" w:w="140"/>
              <w:bottom w:type="dxa" w:w="100"/>
              <w:right w:type="dxa" w:w="140"/>
            </w:tcMar>
          </w:tcPr>
          <w:p>
            <w:r>
              <w:rPr>
                <w:b w:val="false"/>
                <w:bCs w:val="false"/>
              </w:rPr>
              <w:t xml:space="preserve">8</w:t>
            </w:r>
          </w:p>
        </w:tc>
        <w:tc>
          <w:tcPr>
            <w:tcW w:type="dxa" w:w="2000"/>
            <w:tcBorders>
              <w:top w:val="single" w:color="CCCCCC" w:sz="4"/>
              <w:left w:val="single" w:color="CCCCCC" w:sz="4"/>
              <w:bottom w:val="single" w:color="CCCCCC" w:sz="4"/>
              <w:right w:val="single" w:color="CCCCCC" w:sz="4"/>
            </w:tcBorders>
            <w:shd w:fill="F5F8FA" w:val="clear"/>
            <w:tcMar>
              <w:top w:type="dxa" w:w="100"/>
              <w:left w:type="dxa" w:w="140"/>
              <w:bottom w:type="dxa" w:w="100"/>
              <w:right w:type="dxa" w:w="140"/>
            </w:tcMar>
          </w:tcPr>
          <w:p>
            <w:r>
              <w:rPr>
                <w:b w:val="false"/>
                <w:bCs w:val="false"/>
              </w:rPr>
              <w:t xml:space="preserve">AI Training &amp; Enablement Workshops</w:t>
            </w:r>
          </w:p>
        </w:tc>
        <w:tc>
          <w:tcPr>
            <w:tcW w:type="dxa" w:w="1600"/>
            <w:tcBorders>
              <w:top w:val="single" w:color="CCCCCC" w:sz="4"/>
              <w:left w:val="single" w:color="CCCCCC" w:sz="4"/>
              <w:bottom w:val="single" w:color="CCCCCC" w:sz="4"/>
              <w:right w:val="single" w:color="CCCCCC" w:sz="4"/>
            </w:tcBorders>
            <w:shd w:fill="F5F8FA" w:val="clear"/>
            <w:tcMar>
              <w:top w:type="dxa" w:w="100"/>
              <w:left w:type="dxa" w:w="140"/>
              <w:bottom w:type="dxa" w:w="100"/>
              <w:right w:type="dxa" w:w="140"/>
            </w:tcMar>
          </w:tcPr>
          <w:p>
            <w:r>
              <w:rPr>
                <w:b w:val="false"/>
                <w:bCs w:val="false"/>
              </w:rPr>
              <w:t xml:space="preserve">One-time or quarterly</w:t>
            </w:r>
          </w:p>
        </w:tc>
        <w:tc>
          <w:tcPr>
            <w:tcW w:type="dxa" w:w="3560"/>
            <w:tcBorders>
              <w:top w:val="single" w:color="CCCCCC" w:sz="4"/>
              <w:left w:val="single" w:color="CCCCCC" w:sz="4"/>
              <w:bottom w:val="single" w:color="CCCCCC" w:sz="4"/>
              <w:right w:val="single" w:color="CCCCCC" w:sz="4"/>
            </w:tcBorders>
            <w:shd w:fill="F5F8FA" w:val="clear"/>
            <w:tcMar>
              <w:top w:type="dxa" w:w="100"/>
              <w:left w:type="dxa" w:w="140"/>
              <w:bottom w:type="dxa" w:w="100"/>
              <w:right w:type="dxa" w:w="140"/>
            </w:tcMar>
          </w:tcPr>
          <w:p>
            <w:r>
              <w:rPr>
                <w:b w:val="false"/>
                <w:bCs w:val="false"/>
              </w:rPr>
              <w:t xml:space="preserve">Role-specific sessions: exec overview, team workshops, power-user deep dives. Live or recorded.</w:t>
            </w:r>
          </w:p>
        </w:tc>
        <w:tc>
          <w:tcPr>
            <w:tcW w:type="dxa" w:w="1800"/>
            <w:tcBorders>
              <w:top w:val="single" w:color="CCCCCC" w:sz="4"/>
              <w:left w:val="single" w:color="CCCCCC" w:sz="4"/>
              <w:bottom w:val="single" w:color="CCCCCC" w:sz="4"/>
              <w:right w:val="single" w:color="CCCCCC" w:sz="4"/>
            </w:tcBorders>
            <w:shd w:fill="F5F8FA" w:val="clear"/>
            <w:tcMar>
              <w:top w:type="dxa" w:w="100"/>
              <w:left w:type="dxa" w:w="140"/>
              <w:bottom w:type="dxa" w:w="100"/>
              <w:right w:type="dxa" w:w="140"/>
            </w:tcMar>
          </w:tcPr>
          <w:p>
            <w:r>
              <w:rPr>
                <w:b w:val="false"/>
                <w:bCs w:val="false"/>
              </w:rPr>
              <w:t xml:space="preserve">Description (primary)</w:t>
            </w:r>
          </w:p>
        </w:tc>
      </w:tr>
    </w:tbl>
    <w:p>
      <w:pPr>
        <w:pStyle w:val="Heading2"/>
      </w:pPr>
      <w:r>
        <w:t xml:space="preserve">4.1 The Readiness Assessment is the wedge</w:t>
      </w:r>
    </w:p>
    <w:p>
      <w:pPr>
        <w:spacing w:after="80" w:before="80"/>
      </w:pPr>
      <w:r>
        <w:t xml:space="preserve">Every new AI client starts here. Two weeks, fixed price, fixed deliverable: a 4D-scored report and a 90-day roadmap. The Assessment is the mechanism that converts "we’re curious about AI" into a signed roadmap that sells everything else in the catalog. It is also a recurring product — re-run quarterly or annually as a governance ritual, each re-scoring reveals new work.</w:t>
      </w:r>
    </w:p>
    <w:p>
      <w:pPr>
        <w:pStyle w:val="Heading2"/>
      </w:pPr>
      <w:r>
        <w:t xml:space="preserve">4.2 The retainers are the revenue engine</w:t>
      </w:r>
    </w:p>
    <w:p>
      <w:pPr>
        <w:spacing w:after="80" w:before="80"/>
      </w:pPr>
      <w:r>
        <w:t xml:space="preserve">Enablement, Governance, and Managed AI Operations are monthly retainers. Once a client is on the Managed AI Operations line, AI becomes part of their MSP invoice — recurring revenue, predictable margin, and the kind of sticky service relationship Katana already knows how to run.</w:t>
      </w:r>
    </w:p>
    <w:p>
      <w:pPr>
        <w:pStyle w:val="Heading1"/>
      </w:pPr>
      <w:r>
        <w:t xml:space="preserve">5. Integrations — What Clients Will Want Connected</w:t>
      </w:r>
    </w:p>
    <w:p>
      <w:pPr>
        <w:spacing w:after="80" w:before="80"/>
      </w:pPr>
      <w:r>
        <w:t xml:space="preserve">AI in isolation is a novelty. AI connected to the client’s actual tools — email, files, CRM, calendar, accounting — is where the value lives. Below is the map of integrations Katana should be fluent in, grouped by category.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780"/>
        <w:gridCol w:w="3580"/>
      </w:tblGrid>
      <w:tr>
        <w:trPr>
          <w:tblHeader/>
        </w:trPr>
        <w:tc>
          <w:tcPr>
            <w:tcW w:type="dxa" w:w="2000"/>
            <w:tcBorders>
              <w:top w:val="single" w:color="CCCCCC" w:sz="4"/>
              <w:left w:val="single" w:color="CCCCCC" w:sz="4"/>
              <w:bottom w:val="single" w:color="CCCCCC" w:sz="4"/>
              <w:right w:val="single" w:color="CCCCCC" w:sz="4"/>
            </w:tcBorders>
            <w:shd w:fill="D5E8F0" w:val="clear"/>
            <w:tcMar>
              <w:top w:type="dxa" w:w="100"/>
              <w:left w:type="dxa" w:w="140"/>
              <w:bottom w:type="dxa" w:w="100"/>
              <w:right w:type="dxa" w:w="140"/>
            </w:tcMar>
          </w:tcPr>
          <w:p>
            <w:r>
              <w:rPr>
                <w:b/>
                <w:bCs/>
              </w:rPr>
              <w:t xml:space="preserve">Integration category</w:t>
            </w:r>
          </w:p>
        </w:tc>
        <w:tc>
          <w:tcPr>
            <w:tcW w:type="dxa" w:w="3780"/>
            <w:tcBorders>
              <w:top w:val="single" w:color="CCCCCC" w:sz="4"/>
              <w:left w:val="single" w:color="CCCCCC" w:sz="4"/>
              <w:bottom w:val="single" w:color="CCCCCC" w:sz="4"/>
              <w:right w:val="single" w:color="CCCCCC" w:sz="4"/>
            </w:tcBorders>
            <w:shd w:fill="D5E8F0" w:val="clear"/>
            <w:tcMar>
              <w:top w:type="dxa" w:w="100"/>
              <w:left w:type="dxa" w:w="140"/>
              <w:bottom w:type="dxa" w:w="100"/>
              <w:right w:type="dxa" w:w="140"/>
            </w:tcMar>
          </w:tcPr>
          <w:p>
            <w:r>
              <w:rPr>
                <w:b/>
                <w:bCs/>
              </w:rPr>
              <w:t xml:space="preserve">What gets connected</w:t>
            </w:r>
          </w:p>
        </w:tc>
        <w:tc>
          <w:tcPr>
            <w:tcW w:type="dxa" w:w="3580"/>
            <w:tcBorders>
              <w:top w:val="single" w:color="CCCCCC" w:sz="4"/>
              <w:left w:val="single" w:color="CCCCCC" w:sz="4"/>
              <w:bottom w:val="single" w:color="CCCCCC" w:sz="4"/>
              <w:right w:val="single" w:color="CCCCCC" w:sz="4"/>
            </w:tcBorders>
            <w:shd w:fill="D5E8F0" w:val="clear"/>
            <w:tcMar>
              <w:top w:type="dxa" w:w="100"/>
              <w:left w:type="dxa" w:w="140"/>
              <w:bottom w:type="dxa" w:w="100"/>
              <w:right w:type="dxa" w:w="140"/>
            </w:tcMar>
          </w:tcPr>
          <w:p>
            <w:r>
              <w:rPr>
                <w:b/>
                <w:bCs/>
              </w:rPr>
              <w:t xml:space="preserve">Why the client cares</w:t>
            </w:r>
          </w:p>
        </w:tc>
      </w:tr>
      <w:tr>
        <w:trPr>
          <w:tblHeader w:val="false"/>
        </w:trPr>
        <w:tc>
          <w:tcPr>
            <w:tcW w:type="dxa" w:w="2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Email &amp; calendar</w:t>
            </w:r>
          </w:p>
        </w:tc>
        <w:tc>
          <w:tcPr>
            <w:tcW w:type="dxa" w:w="378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Microsoft Outlook / Exchange, Google Workspace Gmail / Calendar.</w:t>
            </w:r>
          </w:p>
        </w:tc>
        <w:tc>
          <w:tcPr>
            <w:tcW w:type="dxa" w:w="358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Draft replies, schedule, summarize threads, prep for meetings based on email context.</w:t>
            </w:r>
          </w:p>
        </w:tc>
      </w:tr>
      <w:tr>
        <w:trPr>
          <w:tblHeader w:val="false"/>
        </w:trPr>
        <w:tc>
          <w:tcPr>
            <w:tcW w:type="dxa" w:w="2000"/>
            <w:tcBorders>
              <w:top w:val="single" w:color="CCCCCC" w:sz="4"/>
              <w:left w:val="single" w:color="CCCCCC" w:sz="4"/>
              <w:bottom w:val="single" w:color="CCCCCC" w:sz="4"/>
              <w:right w:val="single" w:color="CCCCCC" w:sz="4"/>
            </w:tcBorders>
            <w:shd w:fill="F5F8FA" w:val="clear"/>
            <w:tcMar>
              <w:top w:type="dxa" w:w="100"/>
              <w:left w:type="dxa" w:w="140"/>
              <w:bottom w:type="dxa" w:w="100"/>
              <w:right w:type="dxa" w:w="140"/>
            </w:tcMar>
          </w:tcPr>
          <w:p>
            <w:r>
              <w:rPr>
                <w:b w:val="false"/>
                <w:bCs w:val="false"/>
              </w:rPr>
              <w:t xml:space="preserve">Productivity suites</w:t>
            </w:r>
          </w:p>
        </w:tc>
        <w:tc>
          <w:tcPr>
            <w:tcW w:type="dxa" w:w="3780"/>
            <w:tcBorders>
              <w:top w:val="single" w:color="CCCCCC" w:sz="4"/>
              <w:left w:val="single" w:color="CCCCCC" w:sz="4"/>
              <w:bottom w:val="single" w:color="CCCCCC" w:sz="4"/>
              <w:right w:val="single" w:color="CCCCCC" w:sz="4"/>
            </w:tcBorders>
            <w:shd w:fill="F5F8FA" w:val="clear"/>
            <w:tcMar>
              <w:top w:type="dxa" w:w="100"/>
              <w:left w:type="dxa" w:w="140"/>
              <w:bottom w:type="dxa" w:w="100"/>
              <w:right w:type="dxa" w:w="140"/>
            </w:tcMar>
          </w:tcPr>
          <w:p>
            <w:r>
              <w:rPr>
                <w:b w:val="false"/>
                <w:bCs w:val="false"/>
              </w:rPr>
              <w:t xml:space="preserve">Microsoft 365 (Word, Excel, PowerPoint, OneNote, SharePoint, OneDrive), Google Workspace (Docs, Sheets, Slides, Drive).</w:t>
            </w:r>
          </w:p>
        </w:tc>
        <w:tc>
          <w:tcPr>
            <w:tcW w:type="dxa" w:w="3580"/>
            <w:tcBorders>
              <w:top w:val="single" w:color="CCCCCC" w:sz="4"/>
              <w:left w:val="single" w:color="CCCCCC" w:sz="4"/>
              <w:bottom w:val="single" w:color="CCCCCC" w:sz="4"/>
              <w:right w:val="single" w:color="CCCCCC" w:sz="4"/>
            </w:tcBorders>
            <w:shd w:fill="F5F8FA" w:val="clear"/>
            <w:tcMar>
              <w:top w:type="dxa" w:w="100"/>
              <w:left w:type="dxa" w:w="140"/>
              <w:bottom w:type="dxa" w:w="100"/>
              <w:right w:type="dxa" w:w="140"/>
            </w:tcMar>
          </w:tcPr>
          <w:p>
            <w:r>
              <w:rPr>
                <w:b w:val="false"/>
                <w:bCs w:val="false"/>
              </w:rPr>
              <w:t xml:space="preserve">AI works inside the tools people already use. No context-switching. Native on Copilot; via integrations for Claude/ChatGPT.</w:t>
            </w:r>
          </w:p>
        </w:tc>
      </w:tr>
      <w:tr>
        <w:trPr>
          <w:tblHeader w:val="false"/>
        </w:trPr>
        <w:tc>
          <w:tcPr>
            <w:tcW w:type="dxa" w:w="2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Chat &amp; collaboration</w:t>
            </w:r>
          </w:p>
        </w:tc>
        <w:tc>
          <w:tcPr>
            <w:tcW w:type="dxa" w:w="378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Microsoft Teams, Slack, Zoom, Webex.</w:t>
            </w:r>
          </w:p>
        </w:tc>
        <w:tc>
          <w:tcPr>
            <w:tcW w:type="dxa" w:w="358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Meeting summaries, action items, draft messages, search conversation history.</w:t>
            </w:r>
          </w:p>
        </w:tc>
      </w:tr>
      <w:tr>
        <w:trPr>
          <w:tblHeader w:val="false"/>
        </w:trPr>
        <w:tc>
          <w:tcPr>
            <w:tcW w:type="dxa" w:w="2000"/>
            <w:tcBorders>
              <w:top w:val="single" w:color="CCCCCC" w:sz="4"/>
              <w:left w:val="single" w:color="CCCCCC" w:sz="4"/>
              <w:bottom w:val="single" w:color="CCCCCC" w:sz="4"/>
              <w:right w:val="single" w:color="CCCCCC" w:sz="4"/>
            </w:tcBorders>
            <w:shd w:fill="F5F8FA" w:val="clear"/>
            <w:tcMar>
              <w:top w:type="dxa" w:w="100"/>
              <w:left w:type="dxa" w:w="140"/>
              <w:bottom w:type="dxa" w:w="100"/>
              <w:right w:type="dxa" w:w="140"/>
            </w:tcMar>
          </w:tcPr>
          <w:p>
            <w:r>
              <w:rPr>
                <w:b w:val="false"/>
                <w:bCs w:val="false"/>
              </w:rPr>
              <w:t xml:space="preserve">CRM</w:t>
            </w:r>
          </w:p>
        </w:tc>
        <w:tc>
          <w:tcPr>
            <w:tcW w:type="dxa" w:w="3780"/>
            <w:tcBorders>
              <w:top w:val="single" w:color="CCCCCC" w:sz="4"/>
              <w:left w:val="single" w:color="CCCCCC" w:sz="4"/>
              <w:bottom w:val="single" w:color="CCCCCC" w:sz="4"/>
              <w:right w:val="single" w:color="CCCCCC" w:sz="4"/>
            </w:tcBorders>
            <w:shd w:fill="F5F8FA" w:val="clear"/>
            <w:tcMar>
              <w:top w:type="dxa" w:w="100"/>
              <w:left w:type="dxa" w:w="140"/>
              <w:bottom w:type="dxa" w:w="100"/>
              <w:right w:type="dxa" w:w="140"/>
            </w:tcMar>
          </w:tcPr>
          <w:p>
            <w:r>
              <w:rPr>
                <w:b w:val="false"/>
                <w:bCs w:val="false"/>
              </w:rPr>
              <w:t xml:space="preserve">Salesforce, HubSpot, Dynamics, Zoho, Pipedrive.</w:t>
            </w:r>
          </w:p>
        </w:tc>
        <w:tc>
          <w:tcPr>
            <w:tcW w:type="dxa" w:w="3580"/>
            <w:tcBorders>
              <w:top w:val="single" w:color="CCCCCC" w:sz="4"/>
              <w:left w:val="single" w:color="CCCCCC" w:sz="4"/>
              <w:bottom w:val="single" w:color="CCCCCC" w:sz="4"/>
              <w:right w:val="single" w:color="CCCCCC" w:sz="4"/>
            </w:tcBorders>
            <w:shd w:fill="F5F8FA" w:val="clear"/>
            <w:tcMar>
              <w:top w:type="dxa" w:w="100"/>
              <w:left w:type="dxa" w:w="140"/>
              <w:bottom w:type="dxa" w:w="100"/>
              <w:right w:type="dxa" w:w="140"/>
            </w:tcMar>
          </w:tcPr>
          <w:p>
            <w:r>
              <w:rPr>
                <w:b w:val="false"/>
                <w:bCs w:val="false"/>
              </w:rPr>
              <w:t xml:space="preserve">Prospect research pulled into the record, draft outreach inline, summarize deal notes, forecast hygiene.</w:t>
            </w:r>
          </w:p>
        </w:tc>
      </w:tr>
      <w:tr>
        <w:trPr>
          <w:tblHeader w:val="false"/>
        </w:trPr>
        <w:tc>
          <w:tcPr>
            <w:tcW w:type="dxa" w:w="2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Project &amp; work mgmt</w:t>
            </w:r>
          </w:p>
        </w:tc>
        <w:tc>
          <w:tcPr>
            <w:tcW w:type="dxa" w:w="378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Asana, Monday, ClickUp, Jira, Trello, Notion.</w:t>
            </w:r>
          </w:p>
        </w:tc>
        <w:tc>
          <w:tcPr>
            <w:tcW w:type="dxa" w:w="358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Summarize project status, draft tickets, roll up status into exec-readable format.</w:t>
            </w:r>
          </w:p>
        </w:tc>
      </w:tr>
      <w:tr>
        <w:trPr>
          <w:tblHeader w:val="false"/>
        </w:trPr>
        <w:tc>
          <w:tcPr>
            <w:tcW w:type="dxa" w:w="2000"/>
            <w:tcBorders>
              <w:top w:val="single" w:color="CCCCCC" w:sz="4"/>
              <w:left w:val="single" w:color="CCCCCC" w:sz="4"/>
              <w:bottom w:val="single" w:color="CCCCCC" w:sz="4"/>
              <w:right w:val="single" w:color="CCCCCC" w:sz="4"/>
            </w:tcBorders>
            <w:shd w:fill="F5F8FA" w:val="clear"/>
            <w:tcMar>
              <w:top w:type="dxa" w:w="100"/>
              <w:left w:type="dxa" w:w="140"/>
              <w:bottom w:type="dxa" w:w="100"/>
              <w:right w:type="dxa" w:w="140"/>
            </w:tcMar>
          </w:tcPr>
          <w:p>
            <w:r>
              <w:rPr>
                <w:b w:val="false"/>
                <w:bCs w:val="false"/>
              </w:rPr>
              <w:t xml:space="preserve">File storage</w:t>
            </w:r>
          </w:p>
        </w:tc>
        <w:tc>
          <w:tcPr>
            <w:tcW w:type="dxa" w:w="3780"/>
            <w:tcBorders>
              <w:top w:val="single" w:color="CCCCCC" w:sz="4"/>
              <w:left w:val="single" w:color="CCCCCC" w:sz="4"/>
              <w:bottom w:val="single" w:color="CCCCCC" w:sz="4"/>
              <w:right w:val="single" w:color="CCCCCC" w:sz="4"/>
            </w:tcBorders>
            <w:shd w:fill="F5F8FA" w:val="clear"/>
            <w:tcMar>
              <w:top w:type="dxa" w:w="100"/>
              <w:left w:type="dxa" w:w="140"/>
              <w:bottom w:type="dxa" w:w="100"/>
              <w:right w:type="dxa" w:w="140"/>
            </w:tcMar>
          </w:tcPr>
          <w:p>
            <w:r>
              <w:rPr>
                <w:b w:val="false"/>
                <w:bCs w:val="false"/>
              </w:rPr>
              <w:t xml:space="preserve">SharePoint, OneDrive, Google Drive, Dropbox, Box.</w:t>
            </w:r>
          </w:p>
        </w:tc>
        <w:tc>
          <w:tcPr>
            <w:tcW w:type="dxa" w:w="3580"/>
            <w:tcBorders>
              <w:top w:val="single" w:color="CCCCCC" w:sz="4"/>
              <w:left w:val="single" w:color="CCCCCC" w:sz="4"/>
              <w:bottom w:val="single" w:color="CCCCCC" w:sz="4"/>
              <w:right w:val="single" w:color="CCCCCC" w:sz="4"/>
            </w:tcBorders>
            <w:shd w:fill="F5F8FA" w:val="clear"/>
            <w:tcMar>
              <w:top w:type="dxa" w:w="100"/>
              <w:left w:type="dxa" w:w="140"/>
              <w:bottom w:type="dxa" w:w="100"/>
              <w:right w:type="dxa" w:w="140"/>
            </w:tcMar>
          </w:tcPr>
          <w:p>
            <w:r>
              <w:rPr>
                <w:b w:val="false"/>
                <w:bCs w:val="false"/>
              </w:rPr>
              <w:t xml:space="preserve">Search across documents using natural language. "Find the contract where we agreed to ____."</w:t>
            </w:r>
          </w:p>
        </w:tc>
      </w:tr>
      <w:tr>
        <w:trPr>
          <w:tblHeader w:val="false"/>
        </w:trPr>
        <w:tc>
          <w:tcPr>
            <w:tcW w:type="dxa" w:w="2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Accounting / ERP</w:t>
            </w:r>
          </w:p>
        </w:tc>
        <w:tc>
          <w:tcPr>
            <w:tcW w:type="dxa" w:w="378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QuickBooks, Xero, NetSuite, Sage, Dynamics Business Central.</w:t>
            </w:r>
          </w:p>
        </w:tc>
        <w:tc>
          <w:tcPr>
            <w:tcW w:type="dxa" w:w="358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Draft invoices, reconcile memos, extract line items from PDFs, answer finance questions.</w:t>
            </w:r>
          </w:p>
        </w:tc>
      </w:tr>
      <w:tr>
        <w:trPr>
          <w:tblHeader w:val="false"/>
        </w:trPr>
        <w:tc>
          <w:tcPr>
            <w:tcW w:type="dxa" w:w="2000"/>
            <w:tcBorders>
              <w:top w:val="single" w:color="CCCCCC" w:sz="4"/>
              <w:left w:val="single" w:color="CCCCCC" w:sz="4"/>
              <w:bottom w:val="single" w:color="CCCCCC" w:sz="4"/>
              <w:right w:val="single" w:color="CCCCCC" w:sz="4"/>
            </w:tcBorders>
            <w:shd w:fill="F5F8FA" w:val="clear"/>
            <w:tcMar>
              <w:top w:type="dxa" w:w="100"/>
              <w:left w:type="dxa" w:w="140"/>
              <w:bottom w:type="dxa" w:w="100"/>
              <w:right w:type="dxa" w:w="140"/>
            </w:tcMar>
          </w:tcPr>
          <w:p>
            <w:r>
              <w:rPr>
                <w:b w:val="false"/>
                <w:bCs w:val="false"/>
              </w:rPr>
              <w:t xml:space="preserve">Marketing</w:t>
            </w:r>
          </w:p>
        </w:tc>
        <w:tc>
          <w:tcPr>
            <w:tcW w:type="dxa" w:w="3780"/>
            <w:tcBorders>
              <w:top w:val="single" w:color="CCCCCC" w:sz="4"/>
              <w:left w:val="single" w:color="CCCCCC" w:sz="4"/>
              <w:bottom w:val="single" w:color="CCCCCC" w:sz="4"/>
              <w:right w:val="single" w:color="CCCCCC" w:sz="4"/>
            </w:tcBorders>
            <w:shd w:fill="F5F8FA" w:val="clear"/>
            <w:tcMar>
              <w:top w:type="dxa" w:w="100"/>
              <w:left w:type="dxa" w:w="140"/>
              <w:bottom w:type="dxa" w:w="100"/>
              <w:right w:type="dxa" w:w="140"/>
            </w:tcMar>
          </w:tcPr>
          <w:p>
            <w:r>
              <w:rPr>
                <w:b w:val="false"/>
                <w:bCs w:val="false"/>
              </w:rPr>
              <w:t xml:space="preserve">HubSpot, Mailchimp, Klaviyo, Marketo, Salesforce MC.</w:t>
            </w:r>
          </w:p>
        </w:tc>
        <w:tc>
          <w:tcPr>
            <w:tcW w:type="dxa" w:w="3580"/>
            <w:tcBorders>
              <w:top w:val="single" w:color="CCCCCC" w:sz="4"/>
              <w:left w:val="single" w:color="CCCCCC" w:sz="4"/>
              <w:bottom w:val="single" w:color="CCCCCC" w:sz="4"/>
              <w:right w:val="single" w:color="CCCCCC" w:sz="4"/>
            </w:tcBorders>
            <w:shd w:fill="F5F8FA" w:val="clear"/>
            <w:tcMar>
              <w:top w:type="dxa" w:w="100"/>
              <w:left w:type="dxa" w:w="140"/>
              <w:bottom w:type="dxa" w:w="100"/>
              <w:right w:type="dxa" w:w="140"/>
            </w:tcMar>
          </w:tcPr>
          <w:p>
            <w:r>
              <w:rPr>
                <w:b w:val="false"/>
                <w:bCs w:val="false"/>
              </w:rPr>
              <w:t xml:space="preserve">Copy generation, campaign analysis, segmentation assistance.</w:t>
            </w:r>
          </w:p>
        </w:tc>
      </w:tr>
      <w:tr>
        <w:trPr>
          <w:tblHeader w:val="false"/>
        </w:trPr>
        <w:tc>
          <w:tcPr>
            <w:tcW w:type="dxa" w:w="2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Helpdesk / ITSM</w:t>
            </w:r>
          </w:p>
        </w:tc>
        <w:tc>
          <w:tcPr>
            <w:tcW w:type="dxa" w:w="378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ServiceNow, Zendesk, Freshdesk, Jira Service Management.</w:t>
            </w:r>
          </w:p>
        </w:tc>
        <w:tc>
          <w:tcPr>
            <w:tcW w:type="dxa" w:w="358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Ticket triage, suggested resolutions, knowledge-base search, post-incident summaries.</w:t>
            </w:r>
          </w:p>
        </w:tc>
      </w:tr>
      <w:tr>
        <w:trPr>
          <w:tblHeader w:val="false"/>
        </w:trPr>
        <w:tc>
          <w:tcPr>
            <w:tcW w:type="dxa" w:w="2000"/>
            <w:tcBorders>
              <w:top w:val="single" w:color="CCCCCC" w:sz="4"/>
              <w:left w:val="single" w:color="CCCCCC" w:sz="4"/>
              <w:bottom w:val="single" w:color="CCCCCC" w:sz="4"/>
              <w:right w:val="single" w:color="CCCCCC" w:sz="4"/>
            </w:tcBorders>
            <w:shd w:fill="F5F8FA" w:val="clear"/>
            <w:tcMar>
              <w:top w:type="dxa" w:w="100"/>
              <w:left w:type="dxa" w:w="140"/>
              <w:bottom w:type="dxa" w:w="100"/>
              <w:right w:type="dxa" w:w="140"/>
            </w:tcMar>
          </w:tcPr>
          <w:p>
            <w:r>
              <w:rPr>
                <w:b w:val="false"/>
                <w:bCs w:val="false"/>
              </w:rPr>
              <w:t xml:space="preserve">Custom / LOB apps</w:t>
            </w:r>
          </w:p>
        </w:tc>
        <w:tc>
          <w:tcPr>
            <w:tcW w:type="dxa" w:w="3780"/>
            <w:tcBorders>
              <w:top w:val="single" w:color="CCCCCC" w:sz="4"/>
              <w:left w:val="single" w:color="CCCCCC" w:sz="4"/>
              <w:bottom w:val="single" w:color="CCCCCC" w:sz="4"/>
              <w:right w:val="single" w:color="CCCCCC" w:sz="4"/>
            </w:tcBorders>
            <w:shd w:fill="F5F8FA" w:val="clear"/>
            <w:tcMar>
              <w:top w:type="dxa" w:w="100"/>
              <w:left w:type="dxa" w:w="140"/>
              <w:bottom w:type="dxa" w:w="100"/>
              <w:right w:type="dxa" w:w="140"/>
            </w:tcMar>
          </w:tcPr>
          <w:p>
            <w:r>
              <w:rPr>
                <w:b w:val="false"/>
                <w:bCs w:val="false"/>
              </w:rPr>
              <w:t xml:space="preserve">Any internal database, API, or SaaS tool — via Model Context Protocol (MCP) or direct API.</w:t>
            </w:r>
          </w:p>
        </w:tc>
        <w:tc>
          <w:tcPr>
            <w:tcW w:type="dxa" w:w="3580"/>
            <w:tcBorders>
              <w:top w:val="single" w:color="CCCCCC" w:sz="4"/>
              <w:left w:val="single" w:color="CCCCCC" w:sz="4"/>
              <w:bottom w:val="single" w:color="CCCCCC" w:sz="4"/>
              <w:right w:val="single" w:color="CCCCCC" w:sz="4"/>
            </w:tcBorders>
            <w:shd w:fill="F5F8FA" w:val="clear"/>
            <w:tcMar>
              <w:top w:type="dxa" w:w="100"/>
              <w:left w:type="dxa" w:w="140"/>
              <w:bottom w:type="dxa" w:w="100"/>
              <w:right w:type="dxa" w:w="140"/>
            </w:tcMar>
          </w:tcPr>
          <w:p>
            <w:r>
              <w:rPr>
                <w:b w:val="false"/>
                <w:bCs w:val="false"/>
              </w:rPr>
              <w:t xml:space="preserve">This is where differentiated Katana offerings live — custom agents for client-specific apps.</w:t>
            </w:r>
          </w:p>
        </w:tc>
      </w:tr>
      <w:tr>
        <w:trPr>
          <w:tblHeader w:val="false"/>
        </w:trPr>
        <w:tc>
          <w:tcPr>
            <w:tcW w:type="dxa" w:w="2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Cloud / identity</w:t>
            </w:r>
          </w:p>
        </w:tc>
        <w:tc>
          <w:tcPr>
            <w:tcW w:type="dxa" w:w="378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Microsoft Entra (Azure AD), Okta, Google Cloud Identity, AWS IAM.</w:t>
            </w:r>
          </w:p>
        </w:tc>
        <w:tc>
          <w:tcPr>
            <w:tcW w:type="dxa" w:w="358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SSO for AI tools, audit trails, user provisioning via SCIM.</w:t>
            </w:r>
          </w:p>
        </w:tc>
      </w:tr>
    </w:tbl>
    <w:p>
      <w:pPr>
        <w:shd w:fill="E8F4F8" w:val="clear"/>
        <w:spacing w:after="160" w:before="160"/>
        <w:ind w:left="240" w:right="240"/>
      </w:pPr>
      <w:r>
        <w:rPr>
          <w:b/>
          <w:bCs/>
          <w:color w:val="1F4E79"/>
        </w:rPr>
        <w:t xml:space="preserve">MCP is powerful — and carries a real cost: </w:t>
      </w:r>
      <w:r>
        <w:t xml:space="preserve">Model Context Protocol (MCP) is the emerging standard that lets any AI model connect to any data source or tool. Anthropic, Microsoft, OpenAI, and Google all support it, and a growing ecosystem of pre-built servers means many custom integrations are a configuration exercise rather than an engineering project. The caveat every Katana engineer should internalize: every tool exposed by a connected MCP server loads its schema into the model’s context window whether the model uses it or not. Connect many servers and context saturates fast — which raises cost, slows responses, and degrades reasoning. See Section 6.2 for how Katana should choose between MCP, direct API, and CLI-based integrations.</w:t>
      </w:r>
    </w:p>
    <w:p>
      <w:pPr>
        <w:pStyle w:val="Heading1"/>
      </w:pPr>
      <w:r>
        <w:t xml:space="preserve">6. Skills, Plugins, and Agents — the Building Blocks</w:t>
      </w:r>
    </w:p>
    <w:p>
      <w:pPr>
        <w:spacing w:after="80" w:before="80"/>
      </w:pPr>
      <w:r>
        <w:t xml:space="preserve">Clients will hear the words "skill," "plugin," "agent," and "GPT" and not know what they mean. Below is the plain-English version so Drew can explain, sell, and eventually build on top of 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980"/>
        <w:gridCol w:w="3680"/>
      </w:tblGrid>
      <w:tr>
        <w:trPr>
          <w:tblHeader/>
        </w:trPr>
        <w:tc>
          <w:tcPr>
            <w:tcW w:type="dxa" w:w="1700"/>
            <w:tcBorders>
              <w:top w:val="single" w:color="CCCCCC" w:sz="4"/>
              <w:left w:val="single" w:color="CCCCCC" w:sz="4"/>
              <w:bottom w:val="single" w:color="CCCCCC" w:sz="4"/>
              <w:right w:val="single" w:color="CCCCCC" w:sz="4"/>
            </w:tcBorders>
            <w:shd w:fill="D5E8F0" w:val="clear"/>
            <w:tcMar>
              <w:top w:type="dxa" w:w="100"/>
              <w:left w:type="dxa" w:w="140"/>
              <w:bottom w:type="dxa" w:w="100"/>
              <w:right w:type="dxa" w:w="140"/>
            </w:tcMar>
          </w:tcPr>
          <w:p>
            <w:r>
              <w:rPr>
                <w:b/>
                <w:bCs/>
              </w:rPr>
              <w:t xml:space="preserve">Term</w:t>
            </w:r>
          </w:p>
        </w:tc>
        <w:tc>
          <w:tcPr>
            <w:tcW w:type="dxa" w:w="3980"/>
            <w:tcBorders>
              <w:top w:val="single" w:color="CCCCCC" w:sz="4"/>
              <w:left w:val="single" w:color="CCCCCC" w:sz="4"/>
              <w:bottom w:val="single" w:color="CCCCCC" w:sz="4"/>
              <w:right w:val="single" w:color="CCCCCC" w:sz="4"/>
            </w:tcBorders>
            <w:shd w:fill="D5E8F0" w:val="clear"/>
            <w:tcMar>
              <w:top w:type="dxa" w:w="100"/>
              <w:left w:type="dxa" w:w="140"/>
              <w:bottom w:type="dxa" w:w="100"/>
              <w:right w:type="dxa" w:w="140"/>
            </w:tcMar>
          </w:tcPr>
          <w:p>
            <w:r>
              <w:rPr>
                <w:b/>
                <w:bCs/>
              </w:rPr>
              <w:t xml:space="preserve">Plain-English definition</w:t>
            </w:r>
          </w:p>
        </w:tc>
        <w:tc>
          <w:tcPr>
            <w:tcW w:type="dxa" w:w="3680"/>
            <w:tcBorders>
              <w:top w:val="single" w:color="CCCCCC" w:sz="4"/>
              <w:left w:val="single" w:color="CCCCCC" w:sz="4"/>
              <w:bottom w:val="single" w:color="CCCCCC" w:sz="4"/>
              <w:right w:val="single" w:color="CCCCCC" w:sz="4"/>
            </w:tcBorders>
            <w:shd w:fill="D5E8F0" w:val="clear"/>
            <w:tcMar>
              <w:top w:type="dxa" w:w="100"/>
              <w:left w:type="dxa" w:w="140"/>
              <w:bottom w:type="dxa" w:w="100"/>
              <w:right w:type="dxa" w:w="140"/>
            </w:tcMar>
          </w:tcPr>
          <w:p>
            <w:r>
              <w:rPr>
                <w:b/>
                <w:bCs/>
              </w:rPr>
              <w:t xml:space="preserve">Examples across providers</w:t>
            </w:r>
          </w:p>
        </w:tc>
      </w:tr>
      <w:tr>
        <w:trPr>
          <w:tblHeader w:val="false"/>
        </w:trPr>
        <w:tc>
          <w:tcPr>
            <w:tcW w:type="dxa" w:w="17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Skills / Plugins</w:t>
            </w:r>
          </w:p>
        </w:tc>
        <w:tc>
          <w:tcPr>
            <w:tcW w:type="dxa" w:w="398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Pre-packaged capabilities the AI can use on demand — "read a PDF," "pull from this CRM," "build a chart." Adds specialized abilities.</w:t>
            </w:r>
          </w:p>
        </w:tc>
        <w:tc>
          <w:tcPr>
            <w:tcW w:type="dxa" w:w="368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Claude Skills, ChatGPT Custom GPTs, Copilot plugins, Google Gems.</w:t>
            </w:r>
          </w:p>
        </w:tc>
      </w:tr>
      <w:tr>
        <w:trPr>
          <w:tblHeader w:val="false"/>
        </w:trPr>
        <w:tc>
          <w:tcPr>
            <w:tcW w:type="dxa" w:w="1700"/>
            <w:tcBorders>
              <w:top w:val="single" w:color="CCCCCC" w:sz="4"/>
              <w:left w:val="single" w:color="CCCCCC" w:sz="4"/>
              <w:bottom w:val="single" w:color="CCCCCC" w:sz="4"/>
              <w:right w:val="single" w:color="CCCCCC" w:sz="4"/>
            </w:tcBorders>
            <w:shd w:fill="F5F8FA" w:val="clear"/>
            <w:tcMar>
              <w:top w:type="dxa" w:w="100"/>
              <w:left w:type="dxa" w:w="140"/>
              <w:bottom w:type="dxa" w:w="100"/>
              <w:right w:type="dxa" w:w="140"/>
            </w:tcMar>
          </w:tcPr>
          <w:p>
            <w:r>
              <w:rPr>
                <w:b w:val="false"/>
                <w:bCs w:val="false"/>
              </w:rPr>
              <w:t xml:space="preserve">Agents</w:t>
            </w:r>
          </w:p>
        </w:tc>
        <w:tc>
          <w:tcPr>
            <w:tcW w:type="dxa" w:w="3980"/>
            <w:tcBorders>
              <w:top w:val="single" w:color="CCCCCC" w:sz="4"/>
              <w:left w:val="single" w:color="CCCCCC" w:sz="4"/>
              <w:bottom w:val="single" w:color="CCCCCC" w:sz="4"/>
              <w:right w:val="single" w:color="CCCCCC" w:sz="4"/>
            </w:tcBorders>
            <w:shd w:fill="F5F8FA" w:val="clear"/>
            <w:tcMar>
              <w:top w:type="dxa" w:w="100"/>
              <w:left w:type="dxa" w:w="140"/>
              <w:bottom w:type="dxa" w:w="100"/>
              <w:right w:type="dxa" w:w="140"/>
            </w:tcMar>
          </w:tcPr>
          <w:p>
            <w:r>
              <w:rPr>
                <w:b w:val="false"/>
                <w:bCs w:val="false"/>
              </w:rPr>
              <w:t xml:space="preserve">AI workers that can take multi-step actions toward a goal — not just answer a question, but do a task (schedule, email, update a record).</w:t>
            </w:r>
          </w:p>
        </w:tc>
        <w:tc>
          <w:tcPr>
            <w:tcW w:type="dxa" w:w="3680"/>
            <w:tcBorders>
              <w:top w:val="single" w:color="CCCCCC" w:sz="4"/>
              <w:left w:val="single" w:color="CCCCCC" w:sz="4"/>
              <w:bottom w:val="single" w:color="CCCCCC" w:sz="4"/>
              <w:right w:val="single" w:color="CCCCCC" w:sz="4"/>
            </w:tcBorders>
            <w:shd w:fill="F5F8FA" w:val="clear"/>
            <w:tcMar>
              <w:top w:type="dxa" w:w="100"/>
              <w:left w:type="dxa" w:w="140"/>
              <w:bottom w:type="dxa" w:w="100"/>
              <w:right w:type="dxa" w:w="140"/>
            </w:tcMar>
          </w:tcPr>
          <w:p>
            <w:r>
              <w:rPr>
                <w:b w:val="false"/>
                <w:bCs w:val="false"/>
              </w:rPr>
              <w:t xml:space="preserve">Claude Agent SDK, Copilot Studio agents, ChatGPT Assistants API, Vertex AI Agent Builder.</w:t>
            </w:r>
          </w:p>
        </w:tc>
      </w:tr>
      <w:tr>
        <w:trPr>
          <w:tblHeader w:val="false"/>
        </w:trPr>
        <w:tc>
          <w:tcPr>
            <w:tcW w:type="dxa" w:w="17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Projects / Workspaces</w:t>
            </w:r>
          </w:p>
        </w:tc>
        <w:tc>
          <w:tcPr>
            <w:tcW w:type="dxa" w:w="398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A shared context the AI remembers across sessions — e.g., "our company" with policies, documents, and people loaded.</w:t>
            </w:r>
          </w:p>
        </w:tc>
        <w:tc>
          <w:tcPr>
            <w:tcW w:type="dxa" w:w="368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Claude Projects, ChatGPT Projects, Copilot Pages, NotebookLM.</w:t>
            </w:r>
          </w:p>
        </w:tc>
      </w:tr>
      <w:tr>
        <w:trPr>
          <w:tblHeader w:val="false"/>
        </w:trPr>
        <w:tc>
          <w:tcPr>
            <w:tcW w:type="dxa" w:w="1700"/>
            <w:tcBorders>
              <w:top w:val="single" w:color="CCCCCC" w:sz="4"/>
              <w:left w:val="single" w:color="CCCCCC" w:sz="4"/>
              <w:bottom w:val="single" w:color="CCCCCC" w:sz="4"/>
              <w:right w:val="single" w:color="CCCCCC" w:sz="4"/>
            </w:tcBorders>
            <w:shd w:fill="F5F8FA" w:val="clear"/>
            <w:tcMar>
              <w:top w:type="dxa" w:w="100"/>
              <w:left w:type="dxa" w:w="140"/>
              <w:bottom w:type="dxa" w:w="100"/>
              <w:right w:type="dxa" w:w="140"/>
            </w:tcMar>
          </w:tcPr>
          <w:p>
            <w:r>
              <w:rPr>
                <w:b w:val="false"/>
                <w:bCs w:val="false"/>
              </w:rPr>
              <w:t xml:space="preserve">Connectors</w:t>
            </w:r>
          </w:p>
        </w:tc>
        <w:tc>
          <w:tcPr>
            <w:tcW w:type="dxa" w:w="3980"/>
            <w:tcBorders>
              <w:top w:val="single" w:color="CCCCCC" w:sz="4"/>
              <w:left w:val="single" w:color="CCCCCC" w:sz="4"/>
              <w:bottom w:val="single" w:color="CCCCCC" w:sz="4"/>
              <w:right w:val="single" w:color="CCCCCC" w:sz="4"/>
            </w:tcBorders>
            <w:shd w:fill="F5F8FA" w:val="clear"/>
            <w:tcMar>
              <w:top w:type="dxa" w:w="100"/>
              <w:left w:type="dxa" w:w="140"/>
              <w:bottom w:type="dxa" w:w="100"/>
              <w:right w:type="dxa" w:w="140"/>
            </w:tcMar>
          </w:tcPr>
          <w:p>
            <w:r>
              <w:rPr>
                <w:b w:val="false"/>
                <w:bCs w:val="false"/>
              </w:rPr>
              <w:t xml:space="preserve">Plug-ins that link the AI to a client’s existing systems (CRM, file storage, calendar, ticketing).</w:t>
            </w:r>
          </w:p>
        </w:tc>
        <w:tc>
          <w:tcPr>
            <w:tcW w:type="dxa" w:w="3680"/>
            <w:tcBorders>
              <w:top w:val="single" w:color="CCCCCC" w:sz="4"/>
              <w:left w:val="single" w:color="CCCCCC" w:sz="4"/>
              <w:bottom w:val="single" w:color="CCCCCC" w:sz="4"/>
              <w:right w:val="single" w:color="CCCCCC" w:sz="4"/>
            </w:tcBorders>
            <w:shd w:fill="F5F8FA" w:val="clear"/>
            <w:tcMar>
              <w:top w:type="dxa" w:w="100"/>
              <w:left w:type="dxa" w:w="140"/>
              <w:bottom w:type="dxa" w:w="100"/>
              <w:right w:type="dxa" w:w="140"/>
            </w:tcMar>
          </w:tcPr>
          <w:p>
            <w:r>
              <w:rPr>
                <w:b w:val="false"/>
                <w:bCs w:val="false"/>
              </w:rPr>
              <w:t xml:space="preserve">Claude Connectors (Slack, Google Drive, GitHub, Gmail, etc.), Microsoft Graph, ChatGPT data connectors.</w:t>
            </w:r>
          </w:p>
        </w:tc>
      </w:tr>
      <w:tr>
        <w:trPr>
          <w:tblHeader w:val="false"/>
        </w:trPr>
        <w:tc>
          <w:tcPr>
            <w:tcW w:type="dxa" w:w="17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MCP (Model Context Protocol)</w:t>
            </w:r>
          </w:p>
        </w:tc>
        <w:tc>
          <w:tcPr>
            <w:tcW w:type="dxa" w:w="398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An open standard that lets any AI tool connect to any data source or service. Industry-wide adoption — the "USB for AI tools."</w:t>
            </w:r>
          </w:p>
        </w:tc>
        <w:tc>
          <w:tcPr>
            <w:tcW w:type="dxa" w:w="368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Supported by Anthropic, OpenAI, Microsoft, Google. Hundreds of MCP servers now exist.</w:t>
            </w:r>
          </w:p>
        </w:tc>
      </w:tr>
      <w:tr>
        <w:trPr>
          <w:tblHeader w:val="false"/>
        </w:trPr>
        <w:tc>
          <w:tcPr>
            <w:tcW w:type="dxa" w:w="1700"/>
            <w:tcBorders>
              <w:top w:val="single" w:color="CCCCCC" w:sz="4"/>
              <w:left w:val="single" w:color="CCCCCC" w:sz="4"/>
              <w:bottom w:val="single" w:color="CCCCCC" w:sz="4"/>
              <w:right w:val="single" w:color="CCCCCC" w:sz="4"/>
            </w:tcBorders>
            <w:shd w:fill="F5F8FA" w:val="clear"/>
            <w:tcMar>
              <w:top w:type="dxa" w:w="100"/>
              <w:left w:type="dxa" w:w="140"/>
              <w:bottom w:type="dxa" w:w="100"/>
              <w:right w:type="dxa" w:w="140"/>
            </w:tcMar>
          </w:tcPr>
          <w:p>
            <w:r>
              <w:rPr>
                <w:b w:val="false"/>
                <w:bCs w:val="false"/>
              </w:rPr>
              <w:t xml:space="preserve">Custom models / fine-tunes</w:t>
            </w:r>
          </w:p>
        </w:tc>
        <w:tc>
          <w:tcPr>
            <w:tcW w:type="dxa" w:w="3980"/>
            <w:tcBorders>
              <w:top w:val="single" w:color="CCCCCC" w:sz="4"/>
              <w:left w:val="single" w:color="CCCCCC" w:sz="4"/>
              <w:bottom w:val="single" w:color="CCCCCC" w:sz="4"/>
              <w:right w:val="single" w:color="CCCCCC" w:sz="4"/>
            </w:tcBorders>
            <w:shd w:fill="F5F8FA" w:val="clear"/>
            <w:tcMar>
              <w:top w:type="dxa" w:w="100"/>
              <w:left w:type="dxa" w:w="140"/>
              <w:bottom w:type="dxa" w:w="100"/>
              <w:right w:type="dxa" w:w="140"/>
            </w:tcMar>
          </w:tcPr>
          <w:p>
            <w:r>
              <w:rPr>
                <w:b w:val="false"/>
                <w:bCs w:val="false"/>
              </w:rPr>
              <w:t xml:space="preserve">Base AI models retrained on a client’s data for specialized tasks (style, terminology, domain language).</w:t>
            </w:r>
          </w:p>
        </w:tc>
        <w:tc>
          <w:tcPr>
            <w:tcW w:type="dxa" w:w="3680"/>
            <w:tcBorders>
              <w:top w:val="single" w:color="CCCCCC" w:sz="4"/>
              <w:left w:val="single" w:color="CCCCCC" w:sz="4"/>
              <w:bottom w:val="single" w:color="CCCCCC" w:sz="4"/>
              <w:right w:val="single" w:color="CCCCCC" w:sz="4"/>
            </w:tcBorders>
            <w:shd w:fill="F5F8FA" w:val="clear"/>
            <w:tcMar>
              <w:top w:type="dxa" w:w="100"/>
              <w:left w:type="dxa" w:w="140"/>
              <w:bottom w:type="dxa" w:w="100"/>
              <w:right w:type="dxa" w:w="140"/>
            </w:tcMar>
          </w:tcPr>
          <w:p>
            <w:r>
              <w:rPr>
                <w:b w:val="false"/>
                <w:bCs w:val="false"/>
              </w:rPr>
              <w:t xml:space="preserve">Anthropic via API + Bedrock/Vertex, OpenAI fine-tuning, Azure OpenAI fine-tuning.</w:t>
            </w:r>
          </w:p>
        </w:tc>
      </w:tr>
      <w:tr>
        <w:trPr>
          <w:tblHeader w:val="false"/>
        </w:trPr>
        <w:tc>
          <w:tcPr>
            <w:tcW w:type="dxa" w:w="17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Artifacts / Canvas</w:t>
            </w:r>
          </w:p>
        </w:tc>
        <w:tc>
          <w:tcPr>
            <w:tcW w:type="dxa" w:w="398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Interactive outputs the AI creates — documents, code, spreadsheets, apps — that can be edited live.</w:t>
            </w:r>
          </w:p>
        </w:tc>
        <w:tc>
          <w:tcPr>
            <w:tcW w:type="dxa" w:w="368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Claude Artifacts, ChatGPT Canvas, Copilot Pages.</w:t>
            </w:r>
          </w:p>
        </w:tc>
      </w:tr>
    </w:tbl>
    <w:p>
      <w:pPr>
        <w:pStyle w:val="Heading2"/>
      </w:pPr>
      <w:r>
        <w:t xml:space="preserve">6.1 What this means for Katana’s offering</w:t>
      </w:r>
    </w:p>
    <w:p>
      <w:pPr>
        <w:spacing w:after="80" w:before="80"/>
      </w:pPr>
      <w:r>
        <w:t xml:space="preserve">Offering "AI" to a client is not "give them ChatGPT and go." The real value is in building and operating the specific skills, agents, and integrations that fit the client’s workflows. A proposal-drafting agent, a CRM-triage skill, a ticket-summary agent — these are productized deliverables Katana sells and operates, and they are where pricing escapes commodity licensing.</w:t>
      </w:r>
    </w:p>
    <w:p>
      <w:pPr>
        <w:pStyle w:val="Heading2"/>
      </w:pPr>
      <w:r>
        <w:t xml:space="preserve">6.2 Integration approach — MCP vs. direct API vs. CLI</w:t>
      </w:r>
    </w:p>
    <w:p>
      <w:pPr>
        <w:spacing w:after="80" w:before="80"/>
      </w:pPr>
      <w:r>
        <w:t xml:space="preserve">Every custom agent or skill Katana builds needs to connect to something — a CRM, a file store, a ticketing system, an internal app. There are three practical ways to do that, and the choice matters more than it looks. Context windows are a finite, shared resource: every tool definition loaded into the model eats tokens that could otherwise be carrying client data or reasoning. Token-efficient integration is a real engineering discipline, not a theoretical concern.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2100"/>
        <w:gridCol w:w="2100"/>
        <w:gridCol w:w="1160"/>
      </w:tblGrid>
      <w:tr>
        <w:trPr>
          <w:tblHeader/>
        </w:trPr>
        <w:tc>
          <w:tcPr>
            <w:tcW w:type="dxa" w:w="1400"/>
            <w:tcBorders>
              <w:top w:val="single" w:color="CCCCCC" w:sz="4"/>
              <w:left w:val="single" w:color="CCCCCC" w:sz="4"/>
              <w:bottom w:val="single" w:color="CCCCCC" w:sz="4"/>
              <w:right w:val="single" w:color="CCCCCC" w:sz="4"/>
            </w:tcBorders>
            <w:shd w:fill="D5E8F0" w:val="clear"/>
            <w:tcMar>
              <w:top w:type="dxa" w:w="100"/>
              <w:left w:type="dxa" w:w="140"/>
              <w:bottom w:type="dxa" w:w="100"/>
              <w:right w:type="dxa" w:w="140"/>
            </w:tcMar>
          </w:tcPr>
          <w:p>
            <w:r>
              <w:rPr>
                <w:b/>
                <w:bCs/>
              </w:rPr>
              <w:t xml:space="preserve">Approach</w:t>
            </w:r>
          </w:p>
        </w:tc>
        <w:tc>
          <w:tcPr>
            <w:tcW w:type="dxa" w:w="2600"/>
            <w:tcBorders>
              <w:top w:val="single" w:color="CCCCCC" w:sz="4"/>
              <w:left w:val="single" w:color="CCCCCC" w:sz="4"/>
              <w:bottom w:val="single" w:color="CCCCCC" w:sz="4"/>
              <w:right w:val="single" w:color="CCCCCC" w:sz="4"/>
            </w:tcBorders>
            <w:shd w:fill="D5E8F0" w:val="clear"/>
            <w:tcMar>
              <w:top w:type="dxa" w:w="100"/>
              <w:left w:type="dxa" w:w="140"/>
              <w:bottom w:type="dxa" w:w="100"/>
              <w:right w:type="dxa" w:w="140"/>
            </w:tcMar>
          </w:tcPr>
          <w:p>
            <w:r>
              <w:rPr>
                <w:b/>
                <w:bCs/>
              </w:rPr>
              <w:t xml:space="preserve">How it works</w:t>
            </w:r>
          </w:p>
        </w:tc>
        <w:tc>
          <w:tcPr>
            <w:tcW w:type="dxa" w:w="2100"/>
            <w:tcBorders>
              <w:top w:val="single" w:color="CCCCCC" w:sz="4"/>
              <w:left w:val="single" w:color="CCCCCC" w:sz="4"/>
              <w:bottom w:val="single" w:color="CCCCCC" w:sz="4"/>
              <w:right w:val="single" w:color="CCCCCC" w:sz="4"/>
            </w:tcBorders>
            <w:shd w:fill="D5E8F0" w:val="clear"/>
            <w:tcMar>
              <w:top w:type="dxa" w:w="100"/>
              <w:left w:type="dxa" w:w="140"/>
              <w:bottom w:type="dxa" w:w="100"/>
              <w:right w:type="dxa" w:w="140"/>
            </w:tcMar>
          </w:tcPr>
          <w:p>
            <w:r>
              <w:rPr>
                <w:b/>
                <w:bCs/>
              </w:rPr>
              <w:t xml:space="preserve">Strengths</w:t>
            </w:r>
          </w:p>
        </w:tc>
        <w:tc>
          <w:tcPr>
            <w:tcW w:type="dxa" w:w="2100"/>
            <w:tcBorders>
              <w:top w:val="single" w:color="CCCCCC" w:sz="4"/>
              <w:left w:val="single" w:color="CCCCCC" w:sz="4"/>
              <w:bottom w:val="single" w:color="CCCCCC" w:sz="4"/>
              <w:right w:val="single" w:color="CCCCCC" w:sz="4"/>
            </w:tcBorders>
            <w:shd w:fill="D5E8F0" w:val="clear"/>
            <w:tcMar>
              <w:top w:type="dxa" w:w="100"/>
              <w:left w:type="dxa" w:w="140"/>
              <w:bottom w:type="dxa" w:w="100"/>
              <w:right w:type="dxa" w:w="140"/>
            </w:tcMar>
          </w:tcPr>
          <w:p>
            <w:r>
              <w:rPr>
                <w:b/>
                <w:bCs/>
              </w:rPr>
              <w:t xml:space="preserve">Weaknesses</w:t>
            </w:r>
          </w:p>
        </w:tc>
        <w:tc>
          <w:tcPr>
            <w:tcW w:type="dxa" w:w="1160"/>
            <w:tcBorders>
              <w:top w:val="single" w:color="CCCCCC" w:sz="4"/>
              <w:left w:val="single" w:color="CCCCCC" w:sz="4"/>
              <w:bottom w:val="single" w:color="CCCCCC" w:sz="4"/>
              <w:right w:val="single" w:color="CCCCCC" w:sz="4"/>
            </w:tcBorders>
            <w:shd w:fill="D5E8F0" w:val="clear"/>
            <w:tcMar>
              <w:top w:type="dxa" w:w="100"/>
              <w:left w:type="dxa" w:w="140"/>
              <w:bottom w:type="dxa" w:w="100"/>
              <w:right w:type="dxa" w:w="140"/>
            </w:tcMar>
          </w:tcPr>
          <w:p>
            <w:r>
              <w:rPr>
                <w:b/>
                <w:bCs/>
              </w:rPr>
              <w:t xml:space="preserve">Best for</w:t>
            </w:r>
          </w:p>
        </w:tc>
      </w:tr>
      <w:tr>
        <w:trPr>
          <w:tblHeader w:val="false"/>
        </w:trPr>
        <w:tc>
          <w:tcPr>
            <w:tcW w:type="dxa" w:w="1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MCP (Model Context Protocol)</w:t>
            </w:r>
          </w:p>
        </w:tc>
        <w:tc>
          <w:tcPr>
            <w:tcW w:type="dxa" w:w="26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AI connects to an MCP server. The server advertises all its tools; every tool’s schema loads into the model’s context on every request.</w:t>
            </w:r>
          </w:p>
        </w:tc>
        <w:tc>
          <w:tcPr>
            <w:tcW w:type="dxa" w:w="21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Portable across models. Rich ecosystem of pre-built servers. Dynamic discovery — useful when the specific tool isn’t known in advance.</w:t>
            </w:r>
          </w:p>
        </w:tc>
        <w:tc>
          <w:tcPr>
            <w:tcW w:type="dxa" w:w="21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Every tool on every connected server consumes context tokens whether the model uses it or not. Multi-tool servers bloat context fast. Latency per tool round-trip.</w:t>
            </w:r>
          </w:p>
        </w:tc>
        <w:tc>
          <w:tcPr>
            <w:tcW w:type="dxa" w:w="11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Interactive exploration. Power users. Scenarios where the ecosystem/portability benefit clearly outweighs the context cost.</w:t>
            </w:r>
          </w:p>
        </w:tc>
      </w:tr>
      <w:tr>
        <w:trPr>
          <w:tblHeader w:val="false"/>
        </w:trPr>
        <w:tc>
          <w:tcPr>
            <w:tcW w:type="dxa" w:w="1400"/>
            <w:tcBorders>
              <w:top w:val="single" w:color="CCCCCC" w:sz="4"/>
              <w:left w:val="single" w:color="CCCCCC" w:sz="4"/>
              <w:bottom w:val="single" w:color="CCCCCC" w:sz="4"/>
              <w:right w:val="single" w:color="CCCCCC" w:sz="4"/>
            </w:tcBorders>
            <w:shd w:fill="F5F8FA" w:val="clear"/>
            <w:tcMar>
              <w:top w:type="dxa" w:w="100"/>
              <w:left w:type="dxa" w:w="140"/>
              <w:bottom w:type="dxa" w:w="100"/>
              <w:right w:type="dxa" w:w="140"/>
            </w:tcMar>
          </w:tcPr>
          <w:p>
            <w:r>
              <w:rPr>
                <w:b w:val="false"/>
                <w:bCs w:val="false"/>
              </w:rPr>
              <w:t xml:space="preserve">Direct API call</w:t>
            </w:r>
          </w:p>
        </w:tc>
        <w:tc>
          <w:tcPr>
            <w:tcW w:type="dxa" w:w="2600"/>
            <w:tcBorders>
              <w:top w:val="single" w:color="CCCCCC" w:sz="4"/>
              <w:left w:val="single" w:color="CCCCCC" w:sz="4"/>
              <w:bottom w:val="single" w:color="CCCCCC" w:sz="4"/>
              <w:right w:val="single" w:color="CCCCCC" w:sz="4"/>
            </w:tcBorders>
            <w:shd w:fill="F5F8FA" w:val="clear"/>
            <w:tcMar>
              <w:top w:type="dxa" w:w="100"/>
              <w:left w:type="dxa" w:w="140"/>
              <w:bottom w:type="dxa" w:w="100"/>
              <w:right w:type="dxa" w:w="140"/>
            </w:tcMar>
          </w:tcPr>
          <w:p>
            <w:r>
              <w:rPr>
                <w:b w:val="false"/>
                <w:bCs w:val="false"/>
              </w:rPr>
              <w:t xml:space="preserve">Katana’s code (or a narrow tool the agent calls) hits the target system’s API directly. Only the API surface actually used shows up in the tool schema.</w:t>
            </w:r>
          </w:p>
        </w:tc>
        <w:tc>
          <w:tcPr>
            <w:tcW w:type="dxa" w:w="2100"/>
            <w:tcBorders>
              <w:top w:val="single" w:color="CCCCCC" w:sz="4"/>
              <w:left w:val="single" w:color="CCCCCC" w:sz="4"/>
              <w:bottom w:val="single" w:color="CCCCCC" w:sz="4"/>
              <w:right w:val="single" w:color="CCCCCC" w:sz="4"/>
            </w:tcBorders>
            <w:shd w:fill="F5F8FA" w:val="clear"/>
            <w:tcMar>
              <w:top w:type="dxa" w:w="100"/>
              <w:left w:type="dxa" w:w="140"/>
              <w:bottom w:type="dxa" w:w="100"/>
              <w:right w:type="dxa" w:w="140"/>
            </w:tcMar>
          </w:tcPr>
          <w:p>
            <w:r>
              <w:rPr>
                <w:b w:val="false"/>
                <w:bCs w:val="false"/>
              </w:rPr>
              <w:t xml:space="preserve">Minimal context cost. Full control over request and response shape. Task-specific. Testable. Predictable cost per call.</w:t>
            </w:r>
          </w:p>
        </w:tc>
        <w:tc>
          <w:tcPr>
            <w:tcW w:type="dxa" w:w="2100"/>
            <w:tcBorders>
              <w:top w:val="single" w:color="CCCCCC" w:sz="4"/>
              <w:left w:val="single" w:color="CCCCCC" w:sz="4"/>
              <w:bottom w:val="single" w:color="CCCCCC" w:sz="4"/>
              <w:right w:val="single" w:color="CCCCCC" w:sz="4"/>
            </w:tcBorders>
            <w:shd w:fill="F5F8FA" w:val="clear"/>
            <w:tcMar>
              <w:top w:type="dxa" w:w="100"/>
              <w:left w:type="dxa" w:w="140"/>
              <w:bottom w:type="dxa" w:w="100"/>
              <w:right w:type="dxa" w:w="140"/>
            </w:tcMar>
          </w:tcPr>
          <w:p>
            <w:r>
              <w:rPr>
                <w:b w:val="false"/>
                <w:bCs w:val="false"/>
              </w:rPr>
              <w:t xml:space="preserve">One integration per target system. Less portable across models. Requires some engineering up front.</w:t>
            </w:r>
          </w:p>
        </w:tc>
        <w:tc>
          <w:tcPr>
            <w:tcW w:type="dxa" w:w="1160"/>
            <w:tcBorders>
              <w:top w:val="single" w:color="CCCCCC" w:sz="4"/>
              <w:left w:val="single" w:color="CCCCCC" w:sz="4"/>
              <w:bottom w:val="single" w:color="CCCCCC" w:sz="4"/>
              <w:right w:val="single" w:color="CCCCCC" w:sz="4"/>
            </w:tcBorders>
            <w:shd w:fill="F5F8FA" w:val="clear"/>
            <w:tcMar>
              <w:top w:type="dxa" w:w="100"/>
              <w:left w:type="dxa" w:w="140"/>
              <w:bottom w:type="dxa" w:w="100"/>
              <w:right w:type="dxa" w:w="140"/>
            </w:tcMar>
          </w:tcPr>
          <w:p>
            <w:r>
              <w:rPr>
                <w:b w:val="false"/>
                <w:bCs w:val="false"/>
              </w:rPr>
              <w:t xml:space="preserve">Productized agents, recurring workflows, production systems where cost, speed, and reasoning quality matter.</w:t>
            </w:r>
          </w:p>
        </w:tc>
      </w:tr>
      <w:tr>
        <w:trPr>
          <w:tblHeader w:val="false"/>
        </w:trPr>
        <w:tc>
          <w:tcPr>
            <w:tcW w:type="dxa" w:w="1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CLI (shell invocation)</w:t>
            </w:r>
          </w:p>
        </w:tc>
        <w:tc>
          <w:tcPr>
            <w:tcW w:type="dxa" w:w="26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A single "run a shell command" tool exposes arbitrary CLI functionality. The AI writes the command, the shell runs it, the result comes back.</w:t>
            </w:r>
          </w:p>
        </w:tc>
        <w:tc>
          <w:tcPr>
            <w:tcW w:type="dxa" w:w="21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One tool schema, limitless functionality. Leverages battle-tested CLIs. Easy to log, audit, and reproduce. Tiny context footprint.</w:t>
            </w:r>
          </w:p>
        </w:tc>
        <w:tc>
          <w:tcPr>
            <w:tcW w:type="dxa" w:w="21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Output is less structured (though most modern CLIs emit JSON). Requires the CLI to exist, be trusted, and be safely sandboxed.</w:t>
            </w:r>
          </w:p>
        </w:tc>
        <w:tc>
          <w:tcPr>
            <w:tcW w:type="dxa" w:w="11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File operations, system admin, data wrangling, DevOps, anything a mature CLI tool already does well.</w:t>
            </w:r>
          </w:p>
        </w:tc>
      </w:tr>
    </w:tbl>
    <w:p>
      <w:pPr>
        <w:shd w:fill="E8F4F8" w:val="clear"/>
        <w:spacing w:after="160" w:before="160"/>
        <w:ind w:left="240" w:right="240"/>
      </w:pPr>
      <w:r>
        <w:rPr>
          <w:b/>
          <w:bCs/>
          <w:color w:val="1F4E79"/>
        </w:rPr>
        <w:t xml:space="preserve">Katana’s design principle: </w:t>
      </w:r>
      <w:r>
        <w:t xml:space="preserve">Default to the narrowest, most context-efficient integration for the job. Reserve broad MCP connections for cases where discovery genuinely matters — a power user exploring unfamiliar data, or a one-off investigation. For productized agents and recurring workflows, wrap a direct API call or a CLI invocation in a narrow, well-documented tool. That agent will be cheaper per request, faster, more predictable, and a better reasoner because its context window isn’t half-full of tool schemas it never uses. Token discipline is how Katana keeps AI services profitable at scale.</w:t>
      </w:r>
    </w:p>
    <w:p>
      <w:pPr>
        <w:spacing w:after="40" w:before="120"/>
      </w:pPr>
      <w:r>
        <w:rPr>
          <w:b/>
          <w:bCs/>
        </w:rPr>
        <w:t xml:space="preserve">What this looks like in practice</w:t>
      </w:r>
    </w:p>
    <w:p>
      <w:pPr>
        <w:pStyle w:val="ListParagraph"/>
        <w:numPr>
          <w:ilvl w:val="0"/>
          <w:numId w:val="2"/>
        </w:numPr>
        <w:spacing w:after="40" w:before="40"/>
      </w:pPr>
      <w:r>
        <w:t xml:space="preserve">A client wants a "draft our proposals" agent. Instead of connecting the agent to a ten-tool MCP server for their CRM, Katana wraps the two CRM endpoints actually needed (look up account, fetch opportunity) as narrow tools. Context stays lean. The agent runs faster and costs less.</w:t>
      </w:r>
    </w:p>
    <w:p>
      <w:pPr>
        <w:pStyle w:val="ListParagraph"/>
        <w:numPr>
          <w:ilvl w:val="0"/>
          <w:numId w:val="2"/>
        </w:numPr>
        <w:spacing w:after="40" w:before="40"/>
      </w:pPr>
      <w:r>
        <w:t xml:space="preserve">A client wants AI-assisted file operations. Instead of an MCP server for each storage platform, Katana gives the agent a sandboxed shell with `rclone`, `jq`, and `ripgrep`. One tool schema, every file operation covered.</w:t>
      </w:r>
    </w:p>
    <w:p>
      <w:pPr>
        <w:pStyle w:val="ListParagraph"/>
        <w:numPr>
          <w:ilvl w:val="0"/>
          <w:numId w:val="2"/>
        </w:numPr>
        <w:spacing w:after="40" w:before="40"/>
      </w:pPr>
      <w:r>
        <w:t xml:space="preserve">A client wants interactive data exploration for a power user. Here MCP is the right choice — the user doesn’t know what they’ll need next. The context cost is worth the discoverability.</w:t>
      </w:r>
    </w:p>
    <w:p>
      <w:pPr>
        <w:pStyle w:val="ListParagraph"/>
        <w:numPr>
          <w:ilvl w:val="0"/>
          <w:numId w:val="2"/>
        </w:numPr>
        <w:spacing w:after="40" w:before="40"/>
      </w:pPr>
      <w:r>
        <w:t xml:space="preserve">Rule of thumb: if the task is repeated, productize it as a narrow tool. If the task is exploratory, MCP earns its keep.</w:t>
      </w:r>
    </w:p>
    <w:p>
      <w:pPr>
        <w:pStyle w:val="Heading1"/>
      </w:pPr>
      <w:r>
        <w:t xml:space="preserve">7. The AI Provider Landscape</w:t>
      </w:r>
    </w:p>
    <w:p>
      <w:pPr>
        <w:spacing w:after="80" w:before="80"/>
      </w:pPr>
      <w:r>
        <w:t xml:space="preserve">There are effectively four providers worth knowing at the enterprise tier in 2026: Anthropic (Claude), Microsoft (Copilot), OpenAI (ChatGPT), and Google (Gemini). Below is the at-a-glance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200"/>
        <w:gridCol w:w="1600"/>
        <w:gridCol w:w="2160"/>
        <w:gridCol w:w="1700"/>
      </w:tblGrid>
      <w:tr>
        <w:trPr>
          <w:tblHeader/>
        </w:trPr>
        <w:tc>
          <w:tcPr>
            <w:tcW w:type="dxa" w:w="1700"/>
            <w:tcBorders>
              <w:top w:val="single" w:color="CCCCCC" w:sz="4"/>
              <w:left w:val="single" w:color="CCCCCC" w:sz="4"/>
              <w:bottom w:val="single" w:color="CCCCCC" w:sz="4"/>
              <w:right w:val="single" w:color="CCCCCC" w:sz="4"/>
            </w:tcBorders>
            <w:shd w:fill="D5E8F0" w:val="clear"/>
            <w:tcMar>
              <w:top w:type="dxa" w:w="100"/>
              <w:left w:type="dxa" w:w="140"/>
              <w:bottom w:type="dxa" w:w="100"/>
              <w:right w:type="dxa" w:w="140"/>
            </w:tcMar>
          </w:tcPr>
          <w:p>
            <w:r>
              <w:rPr>
                <w:b/>
                <w:bCs/>
              </w:rPr>
              <w:t xml:space="preserve">Provider</w:t>
            </w:r>
          </w:p>
        </w:tc>
        <w:tc>
          <w:tcPr>
            <w:tcW w:type="dxa" w:w="2200"/>
            <w:tcBorders>
              <w:top w:val="single" w:color="CCCCCC" w:sz="4"/>
              <w:left w:val="single" w:color="CCCCCC" w:sz="4"/>
              <w:bottom w:val="single" w:color="CCCCCC" w:sz="4"/>
              <w:right w:val="single" w:color="CCCCCC" w:sz="4"/>
            </w:tcBorders>
            <w:shd w:fill="D5E8F0" w:val="clear"/>
            <w:tcMar>
              <w:top w:type="dxa" w:w="100"/>
              <w:left w:type="dxa" w:w="140"/>
              <w:bottom w:type="dxa" w:w="100"/>
              <w:right w:type="dxa" w:w="140"/>
            </w:tcMar>
          </w:tcPr>
          <w:p>
            <w:r>
              <w:rPr>
                <w:b/>
                <w:bCs/>
              </w:rPr>
              <w:t xml:space="preserve">Flagship products</w:t>
            </w:r>
          </w:p>
        </w:tc>
        <w:tc>
          <w:tcPr>
            <w:tcW w:type="dxa" w:w="1600"/>
            <w:tcBorders>
              <w:top w:val="single" w:color="CCCCCC" w:sz="4"/>
              <w:left w:val="single" w:color="CCCCCC" w:sz="4"/>
              <w:bottom w:val="single" w:color="CCCCCC" w:sz="4"/>
              <w:right w:val="single" w:color="CCCCCC" w:sz="4"/>
            </w:tcBorders>
            <w:shd w:fill="D5E8F0" w:val="clear"/>
            <w:tcMar>
              <w:top w:type="dxa" w:w="100"/>
              <w:left w:type="dxa" w:w="140"/>
              <w:bottom w:type="dxa" w:w="100"/>
              <w:right w:type="dxa" w:w="140"/>
            </w:tcMar>
          </w:tcPr>
          <w:p>
            <w:r>
              <w:rPr>
                <w:b/>
                <w:bCs/>
              </w:rPr>
              <w:t xml:space="preserve">SMB plan</w:t>
            </w:r>
          </w:p>
        </w:tc>
        <w:tc>
          <w:tcPr>
            <w:tcW w:type="dxa" w:w="2160"/>
            <w:tcBorders>
              <w:top w:val="single" w:color="CCCCCC" w:sz="4"/>
              <w:left w:val="single" w:color="CCCCCC" w:sz="4"/>
              <w:bottom w:val="single" w:color="CCCCCC" w:sz="4"/>
              <w:right w:val="single" w:color="CCCCCC" w:sz="4"/>
            </w:tcBorders>
            <w:shd w:fill="D5E8F0" w:val="clear"/>
            <w:tcMar>
              <w:top w:type="dxa" w:w="100"/>
              <w:left w:type="dxa" w:w="140"/>
              <w:bottom w:type="dxa" w:w="100"/>
              <w:right w:type="dxa" w:w="140"/>
            </w:tcMar>
          </w:tcPr>
          <w:p>
            <w:r>
              <w:rPr>
                <w:b/>
                <w:bCs/>
              </w:rPr>
              <w:t xml:space="preserve">Enterprise plan</w:t>
            </w:r>
          </w:p>
        </w:tc>
        <w:tc>
          <w:tcPr>
            <w:tcW w:type="dxa" w:w="1700"/>
            <w:tcBorders>
              <w:top w:val="single" w:color="CCCCCC" w:sz="4"/>
              <w:left w:val="single" w:color="CCCCCC" w:sz="4"/>
              <w:bottom w:val="single" w:color="CCCCCC" w:sz="4"/>
              <w:right w:val="single" w:color="CCCCCC" w:sz="4"/>
            </w:tcBorders>
            <w:shd w:fill="D5E8F0" w:val="clear"/>
            <w:tcMar>
              <w:top w:type="dxa" w:w="100"/>
              <w:left w:type="dxa" w:w="140"/>
              <w:bottom w:type="dxa" w:w="100"/>
              <w:right w:type="dxa" w:w="140"/>
            </w:tcMar>
          </w:tcPr>
          <w:p>
            <w:r>
              <w:rPr>
                <w:b/>
                <w:bCs/>
              </w:rPr>
              <w:t xml:space="preserve">Best for</w:t>
            </w:r>
          </w:p>
        </w:tc>
      </w:tr>
      <w:tr>
        <w:trPr>
          <w:tblHeader w:val="false"/>
        </w:trPr>
        <w:tc>
          <w:tcPr>
            <w:tcW w:type="dxa" w:w="17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Anthropic (Claude)</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Claude Opus 4.6, Sonnet 4.6, Haiku 4.5. Claude.ai app, API, Claude Code.</w:t>
            </w:r>
          </w:p>
        </w:tc>
        <w:tc>
          <w:tcPr>
            <w:tcW w:type="dxa" w:w="16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Claude Team — ~$30/user/mo, 5-seat min.</w:t>
            </w:r>
          </w:p>
        </w:tc>
        <w:tc>
          <w:tcPr>
            <w:tcW w:type="dxa" w:w="21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Claude Enterprise — ~$60/seat, 70-seat min. SSO, SCIM, audit logs, zero-retention.</w:t>
            </w:r>
          </w:p>
        </w:tc>
        <w:tc>
          <w:tcPr>
            <w:tcW w:type="dxa" w:w="17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Reasoning-heavy work: contract review, analysis, code, long-document tasks, agents, safety-sensitive verticals.</w:t>
            </w:r>
          </w:p>
        </w:tc>
      </w:tr>
      <w:tr>
        <w:trPr>
          <w:tblHeader w:val="false"/>
        </w:trPr>
        <w:tc>
          <w:tcPr>
            <w:tcW w:type="dxa" w:w="1700"/>
            <w:tcBorders>
              <w:top w:val="single" w:color="CCCCCC" w:sz="4"/>
              <w:left w:val="single" w:color="CCCCCC" w:sz="4"/>
              <w:bottom w:val="single" w:color="CCCCCC" w:sz="4"/>
              <w:right w:val="single" w:color="CCCCCC" w:sz="4"/>
            </w:tcBorders>
            <w:shd w:fill="F5F8FA" w:val="clear"/>
            <w:tcMar>
              <w:top w:type="dxa" w:w="100"/>
              <w:left w:type="dxa" w:w="140"/>
              <w:bottom w:type="dxa" w:w="100"/>
              <w:right w:type="dxa" w:w="140"/>
            </w:tcMar>
          </w:tcPr>
          <w:p>
            <w:r>
              <w:rPr>
                <w:b w:val="false"/>
                <w:bCs w:val="false"/>
              </w:rPr>
              <w:t xml:space="preserve">Microsoft (Copilot)</w:t>
            </w:r>
          </w:p>
        </w:tc>
        <w:tc>
          <w:tcPr>
            <w:tcW w:type="dxa" w:w="2200"/>
            <w:tcBorders>
              <w:top w:val="single" w:color="CCCCCC" w:sz="4"/>
              <w:left w:val="single" w:color="CCCCCC" w:sz="4"/>
              <w:bottom w:val="single" w:color="CCCCCC" w:sz="4"/>
              <w:right w:val="single" w:color="CCCCCC" w:sz="4"/>
            </w:tcBorders>
            <w:shd w:fill="F5F8FA" w:val="clear"/>
            <w:tcMar>
              <w:top w:type="dxa" w:w="100"/>
              <w:left w:type="dxa" w:w="140"/>
              <w:bottom w:type="dxa" w:w="100"/>
              <w:right w:type="dxa" w:w="140"/>
            </w:tcMar>
          </w:tcPr>
          <w:p>
            <w:r>
              <w:rPr>
                <w:b w:val="false"/>
                <w:bCs w:val="false"/>
              </w:rPr>
              <w:t xml:space="preserve">Microsoft 365 Copilot, Copilot Studio, Copilot Chat, Azure OpenAI Service.</w:t>
            </w:r>
          </w:p>
        </w:tc>
        <w:tc>
          <w:tcPr>
            <w:tcW w:type="dxa" w:w="1600"/>
            <w:tcBorders>
              <w:top w:val="single" w:color="CCCCCC" w:sz="4"/>
              <w:left w:val="single" w:color="CCCCCC" w:sz="4"/>
              <w:bottom w:val="single" w:color="CCCCCC" w:sz="4"/>
              <w:right w:val="single" w:color="CCCCCC" w:sz="4"/>
            </w:tcBorders>
            <w:shd w:fill="F5F8FA" w:val="clear"/>
            <w:tcMar>
              <w:top w:type="dxa" w:w="100"/>
              <w:left w:type="dxa" w:w="140"/>
              <w:bottom w:type="dxa" w:w="100"/>
              <w:right w:type="dxa" w:w="140"/>
            </w:tcMar>
          </w:tcPr>
          <w:p>
            <w:r>
              <w:rPr>
                <w:b w:val="false"/>
                <w:bCs w:val="false"/>
              </w:rPr>
              <w:t xml:space="preserve">Copilot Business / Chat (free with Entra) — entry points.</w:t>
            </w:r>
          </w:p>
        </w:tc>
        <w:tc>
          <w:tcPr>
            <w:tcW w:type="dxa" w:w="2160"/>
            <w:tcBorders>
              <w:top w:val="single" w:color="CCCCCC" w:sz="4"/>
              <w:left w:val="single" w:color="CCCCCC" w:sz="4"/>
              <w:bottom w:val="single" w:color="CCCCCC" w:sz="4"/>
              <w:right w:val="single" w:color="CCCCCC" w:sz="4"/>
            </w:tcBorders>
            <w:shd w:fill="F5F8FA" w:val="clear"/>
            <w:tcMar>
              <w:top w:type="dxa" w:w="100"/>
              <w:left w:type="dxa" w:w="140"/>
              <w:bottom w:type="dxa" w:w="100"/>
              <w:right w:type="dxa" w:w="140"/>
            </w:tcMar>
          </w:tcPr>
          <w:p>
            <w:r>
              <w:rPr>
                <w:b w:val="false"/>
                <w:bCs w:val="false"/>
              </w:rPr>
              <w:t xml:space="preserve">M365 Copilot — $30/user/mo on top of qualifying M365 license. Copilot Studio included.</w:t>
            </w:r>
          </w:p>
        </w:tc>
        <w:tc>
          <w:tcPr>
            <w:tcW w:type="dxa" w:w="1700"/>
            <w:tcBorders>
              <w:top w:val="single" w:color="CCCCCC" w:sz="4"/>
              <w:left w:val="single" w:color="CCCCCC" w:sz="4"/>
              <w:bottom w:val="single" w:color="CCCCCC" w:sz="4"/>
              <w:right w:val="single" w:color="CCCCCC" w:sz="4"/>
            </w:tcBorders>
            <w:shd w:fill="F5F8FA" w:val="clear"/>
            <w:tcMar>
              <w:top w:type="dxa" w:w="100"/>
              <w:left w:type="dxa" w:w="140"/>
              <w:bottom w:type="dxa" w:w="100"/>
              <w:right w:type="dxa" w:w="140"/>
            </w:tcMar>
          </w:tcPr>
          <w:p>
            <w:r>
              <w:rPr>
                <w:b w:val="false"/>
                <w:bCs w:val="false"/>
              </w:rPr>
              <w:t xml:space="preserve">M365 shops. Office-native productivity. Teams/Outlook workflows. Azure-aligned clients.</w:t>
            </w:r>
          </w:p>
        </w:tc>
      </w:tr>
      <w:tr>
        <w:trPr>
          <w:tblHeader w:val="false"/>
        </w:trPr>
        <w:tc>
          <w:tcPr>
            <w:tcW w:type="dxa" w:w="17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OpenAI (ChatGPT)</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GPT-5 family, ChatGPT apps, API, Assistants.</w:t>
            </w:r>
          </w:p>
        </w:tc>
        <w:tc>
          <w:tcPr>
            <w:tcW w:type="dxa" w:w="16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ChatGPT Team — ~$25–30/user/mo.</w:t>
            </w:r>
          </w:p>
        </w:tc>
        <w:tc>
          <w:tcPr>
            <w:tcW w:type="dxa" w:w="21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ChatGPT Enterprise — custom pricing. SSO, SCIM, zero-retention, audit logs, SOC 2.</w:t>
            </w:r>
          </w:p>
        </w:tc>
        <w:tc>
          <w:tcPr>
            <w:tcW w:type="dxa" w:w="17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Broad general-purpose use. Consumer familiarity. Custom GPTs for specific workflows.</w:t>
            </w:r>
          </w:p>
        </w:tc>
      </w:tr>
      <w:tr>
        <w:trPr>
          <w:tblHeader w:val="false"/>
        </w:trPr>
        <w:tc>
          <w:tcPr>
            <w:tcW w:type="dxa" w:w="1700"/>
            <w:tcBorders>
              <w:top w:val="single" w:color="CCCCCC" w:sz="4"/>
              <w:left w:val="single" w:color="CCCCCC" w:sz="4"/>
              <w:bottom w:val="single" w:color="CCCCCC" w:sz="4"/>
              <w:right w:val="single" w:color="CCCCCC" w:sz="4"/>
            </w:tcBorders>
            <w:shd w:fill="F5F8FA" w:val="clear"/>
            <w:tcMar>
              <w:top w:type="dxa" w:w="100"/>
              <w:left w:type="dxa" w:w="140"/>
              <w:bottom w:type="dxa" w:w="100"/>
              <w:right w:type="dxa" w:w="140"/>
            </w:tcMar>
          </w:tcPr>
          <w:p>
            <w:r>
              <w:rPr>
                <w:b w:val="false"/>
                <w:bCs w:val="false"/>
              </w:rPr>
              <w:t xml:space="preserve">Google (Gemini)</w:t>
            </w:r>
          </w:p>
        </w:tc>
        <w:tc>
          <w:tcPr>
            <w:tcW w:type="dxa" w:w="2200"/>
            <w:tcBorders>
              <w:top w:val="single" w:color="CCCCCC" w:sz="4"/>
              <w:left w:val="single" w:color="CCCCCC" w:sz="4"/>
              <w:bottom w:val="single" w:color="CCCCCC" w:sz="4"/>
              <w:right w:val="single" w:color="CCCCCC" w:sz="4"/>
            </w:tcBorders>
            <w:shd w:fill="F5F8FA" w:val="clear"/>
            <w:tcMar>
              <w:top w:type="dxa" w:w="100"/>
              <w:left w:type="dxa" w:w="140"/>
              <w:bottom w:type="dxa" w:w="100"/>
              <w:right w:type="dxa" w:w="140"/>
            </w:tcMar>
          </w:tcPr>
          <w:p>
            <w:r>
              <w:rPr>
                <w:b w:val="false"/>
                <w:bCs w:val="false"/>
              </w:rPr>
              <w:t xml:space="preserve">Gemini 2.5 family, Gemini for Workspace, Vertex AI, Gems.</w:t>
            </w:r>
          </w:p>
        </w:tc>
        <w:tc>
          <w:tcPr>
            <w:tcW w:type="dxa" w:w="1600"/>
            <w:tcBorders>
              <w:top w:val="single" w:color="CCCCCC" w:sz="4"/>
              <w:left w:val="single" w:color="CCCCCC" w:sz="4"/>
              <w:bottom w:val="single" w:color="CCCCCC" w:sz="4"/>
              <w:right w:val="single" w:color="CCCCCC" w:sz="4"/>
            </w:tcBorders>
            <w:shd w:fill="F5F8FA" w:val="clear"/>
            <w:tcMar>
              <w:top w:type="dxa" w:w="100"/>
              <w:left w:type="dxa" w:w="140"/>
              <w:bottom w:type="dxa" w:w="100"/>
              <w:right w:type="dxa" w:w="140"/>
            </w:tcMar>
          </w:tcPr>
          <w:p>
            <w:r>
              <w:rPr>
                <w:b w:val="false"/>
                <w:bCs w:val="false"/>
              </w:rPr>
              <w:t xml:space="preserve">Gemini Business — bundled with Workspace Business.</w:t>
            </w:r>
          </w:p>
        </w:tc>
        <w:tc>
          <w:tcPr>
            <w:tcW w:type="dxa" w:w="2160"/>
            <w:tcBorders>
              <w:top w:val="single" w:color="CCCCCC" w:sz="4"/>
              <w:left w:val="single" w:color="CCCCCC" w:sz="4"/>
              <w:bottom w:val="single" w:color="CCCCCC" w:sz="4"/>
              <w:right w:val="single" w:color="CCCCCC" w:sz="4"/>
            </w:tcBorders>
            <w:shd w:fill="F5F8FA" w:val="clear"/>
            <w:tcMar>
              <w:top w:type="dxa" w:w="100"/>
              <w:left w:type="dxa" w:w="140"/>
              <w:bottom w:type="dxa" w:w="100"/>
              <w:right w:type="dxa" w:w="140"/>
            </w:tcMar>
          </w:tcPr>
          <w:p>
            <w:r>
              <w:rPr>
                <w:b w:val="false"/>
                <w:bCs w:val="false"/>
              </w:rPr>
              <w:t xml:space="preserve">Gemini Enterprise — bundled with Workspace Enterprise. Full admin and audit.</w:t>
            </w:r>
          </w:p>
        </w:tc>
        <w:tc>
          <w:tcPr>
            <w:tcW w:type="dxa" w:w="1700"/>
            <w:tcBorders>
              <w:top w:val="single" w:color="CCCCCC" w:sz="4"/>
              <w:left w:val="single" w:color="CCCCCC" w:sz="4"/>
              <w:bottom w:val="single" w:color="CCCCCC" w:sz="4"/>
              <w:right w:val="single" w:color="CCCCCC" w:sz="4"/>
            </w:tcBorders>
            <w:shd w:fill="F5F8FA" w:val="clear"/>
            <w:tcMar>
              <w:top w:type="dxa" w:w="100"/>
              <w:left w:type="dxa" w:w="140"/>
              <w:bottom w:type="dxa" w:w="100"/>
              <w:right w:type="dxa" w:w="140"/>
            </w:tcMar>
          </w:tcPr>
          <w:p>
            <w:r>
              <w:rPr>
                <w:b w:val="false"/>
                <w:bCs w:val="false"/>
              </w:rPr>
              <w:t xml:space="preserve">Google Workspace shops. Long-context work. Multimodal (video, audio) use cases.</w:t>
            </w:r>
          </w:p>
        </w:tc>
      </w:tr>
    </w:tbl>
    <w:p>
      <w:pPr>
        <w:spacing w:after="80" w:before="80"/>
      </w:pPr>
      <w:r>
        <w:t xml:space="preserve">The detailed Claude-vs-Copilot comparison lives in the v1 briefing document (`Katana-AI-Briefing-v1.docx`) for when the stack conversation comes up with partners. For this primer, the practical posture is: match provider to client stack. M365-heavy clients start with Copilot. Reasoning-heavy or vertical-sensitive clients start with Claude. Workspace shops get Gemini. Revisit quarterly.</w:t>
      </w:r>
    </w:p>
    <w:p>
      <w:pPr>
        <w:pStyle w:val="Heading1"/>
      </w:pPr>
      <w:r>
        <w:t xml:space="preserve">8. Enterprise Licensing — What Clients Are Buying</w:t>
      </w:r>
    </w:p>
    <w:p>
      <w:pPr>
        <w:spacing w:after="80" w:before="80"/>
      </w:pPr>
      <w:r>
        <w:t xml:space="preserve">At the Enterprise tier, all four providers offer the same core set of admin capabilities. The differences are in how the capability is delivered (native vs. integration) and in the price per seat. Below is the side-by-side.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1900"/>
        <w:gridCol w:w="1900"/>
        <w:gridCol w:w="1760"/>
      </w:tblGrid>
      <w:tr>
        <w:trPr>
          <w:tblHeader/>
        </w:trPr>
        <w:tc>
          <w:tcPr>
            <w:tcW w:type="dxa" w:w="1900"/>
            <w:tcBorders>
              <w:top w:val="single" w:color="CCCCCC" w:sz="4"/>
              <w:left w:val="single" w:color="CCCCCC" w:sz="4"/>
              <w:bottom w:val="single" w:color="CCCCCC" w:sz="4"/>
              <w:right w:val="single" w:color="CCCCCC" w:sz="4"/>
            </w:tcBorders>
            <w:shd w:fill="D5E8F0" w:val="clear"/>
            <w:tcMar>
              <w:top w:type="dxa" w:w="100"/>
              <w:left w:type="dxa" w:w="140"/>
              <w:bottom w:type="dxa" w:w="100"/>
              <w:right w:type="dxa" w:w="140"/>
            </w:tcMar>
          </w:tcPr>
          <w:p>
            <w:r>
              <w:rPr>
                <w:b/>
                <w:bCs/>
              </w:rPr>
              <w:t xml:space="preserve">Capability</w:t>
            </w:r>
          </w:p>
        </w:tc>
        <w:tc>
          <w:tcPr>
            <w:tcW w:type="dxa" w:w="1900"/>
            <w:tcBorders>
              <w:top w:val="single" w:color="CCCCCC" w:sz="4"/>
              <w:left w:val="single" w:color="CCCCCC" w:sz="4"/>
              <w:bottom w:val="single" w:color="CCCCCC" w:sz="4"/>
              <w:right w:val="single" w:color="CCCCCC" w:sz="4"/>
            </w:tcBorders>
            <w:shd w:fill="D5E8F0" w:val="clear"/>
            <w:tcMar>
              <w:top w:type="dxa" w:w="100"/>
              <w:left w:type="dxa" w:w="140"/>
              <w:bottom w:type="dxa" w:w="100"/>
              <w:right w:type="dxa" w:w="140"/>
            </w:tcMar>
          </w:tcPr>
          <w:p>
            <w:r>
              <w:rPr>
                <w:b/>
                <w:bCs/>
              </w:rPr>
              <w:t xml:space="preserve">Claude Enterprise</w:t>
            </w:r>
          </w:p>
        </w:tc>
        <w:tc>
          <w:tcPr>
            <w:tcW w:type="dxa" w:w="1900"/>
            <w:tcBorders>
              <w:top w:val="single" w:color="CCCCCC" w:sz="4"/>
              <w:left w:val="single" w:color="CCCCCC" w:sz="4"/>
              <w:bottom w:val="single" w:color="CCCCCC" w:sz="4"/>
              <w:right w:val="single" w:color="CCCCCC" w:sz="4"/>
            </w:tcBorders>
            <w:shd w:fill="D5E8F0" w:val="clear"/>
            <w:tcMar>
              <w:top w:type="dxa" w:w="100"/>
              <w:left w:type="dxa" w:w="140"/>
              <w:bottom w:type="dxa" w:w="100"/>
              <w:right w:type="dxa" w:w="140"/>
            </w:tcMar>
          </w:tcPr>
          <w:p>
            <w:r>
              <w:rPr>
                <w:b/>
                <w:bCs/>
              </w:rPr>
              <w:t xml:space="preserve">M365 Copilot</w:t>
            </w:r>
          </w:p>
        </w:tc>
        <w:tc>
          <w:tcPr>
            <w:tcW w:type="dxa" w:w="1900"/>
            <w:tcBorders>
              <w:top w:val="single" w:color="CCCCCC" w:sz="4"/>
              <w:left w:val="single" w:color="CCCCCC" w:sz="4"/>
              <w:bottom w:val="single" w:color="CCCCCC" w:sz="4"/>
              <w:right w:val="single" w:color="CCCCCC" w:sz="4"/>
            </w:tcBorders>
            <w:shd w:fill="D5E8F0" w:val="clear"/>
            <w:tcMar>
              <w:top w:type="dxa" w:w="100"/>
              <w:left w:type="dxa" w:w="140"/>
              <w:bottom w:type="dxa" w:w="100"/>
              <w:right w:type="dxa" w:w="140"/>
            </w:tcMar>
          </w:tcPr>
          <w:p>
            <w:r>
              <w:rPr>
                <w:b/>
                <w:bCs/>
              </w:rPr>
              <w:t xml:space="preserve">ChatGPT Enterprise</w:t>
            </w:r>
          </w:p>
        </w:tc>
        <w:tc>
          <w:tcPr>
            <w:tcW w:type="dxa" w:w="1760"/>
            <w:tcBorders>
              <w:top w:val="single" w:color="CCCCCC" w:sz="4"/>
              <w:left w:val="single" w:color="CCCCCC" w:sz="4"/>
              <w:bottom w:val="single" w:color="CCCCCC" w:sz="4"/>
              <w:right w:val="single" w:color="CCCCCC" w:sz="4"/>
            </w:tcBorders>
            <w:shd w:fill="D5E8F0" w:val="clear"/>
            <w:tcMar>
              <w:top w:type="dxa" w:w="100"/>
              <w:left w:type="dxa" w:w="140"/>
              <w:bottom w:type="dxa" w:w="100"/>
              <w:right w:type="dxa" w:w="140"/>
            </w:tcMar>
          </w:tcPr>
          <w:p>
            <w:r>
              <w:rPr>
                <w:b/>
                <w:bCs/>
              </w:rPr>
              <w:t xml:space="preserve">Gemini Enterprise</w:t>
            </w:r>
          </w:p>
        </w:tc>
      </w:tr>
      <w:tr>
        <w:trPr>
          <w:tblHeader w:val="false"/>
        </w:trPr>
        <w:tc>
          <w:tcPr>
            <w:tcW w:type="dxa" w:w="19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SSO (SAML / OIDC)</w:t>
            </w:r>
          </w:p>
        </w:tc>
        <w:tc>
          <w:tcPr>
            <w:tcW w:type="dxa" w:w="19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Yes</w:t>
            </w:r>
          </w:p>
        </w:tc>
        <w:tc>
          <w:tcPr>
            <w:tcW w:type="dxa" w:w="19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Yes (Entra-native)</w:t>
            </w:r>
          </w:p>
        </w:tc>
        <w:tc>
          <w:tcPr>
            <w:tcW w:type="dxa" w:w="19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Yes</w:t>
            </w:r>
          </w:p>
        </w:tc>
        <w:tc>
          <w:tcPr>
            <w:tcW w:type="dxa" w:w="17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Yes (Workspace-native)</w:t>
            </w:r>
          </w:p>
        </w:tc>
      </w:tr>
      <w:tr>
        <w:trPr>
          <w:tblHeader w:val="false"/>
        </w:trPr>
        <w:tc>
          <w:tcPr>
            <w:tcW w:type="dxa" w:w="1900"/>
            <w:tcBorders>
              <w:top w:val="single" w:color="CCCCCC" w:sz="4"/>
              <w:left w:val="single" w:color="CCCCCC" w:sz="4"/>
              <w:bottom w:val="single" w:color="CCCCCC" w:sz="4"/>
              <w:right w:val="single" w:color="CCCCCC" w:sz="4"/>
            </w:tcBorders>
            <w:shd w:fill="F5F8FA" w:val="clear"/>
            <w:tcMar>
              <w:top w:type="dxa" w:w="100"/>
              <w:left w:type="dxa" w:w="140"/>
              <w:bottom w:type="dxa" w:w="100"/>
              <w:right w:type="dxa" w:w="140"/>
            </w:tcMar>
          </w:tcPr>
          <w:p>
            <w:r>
              <w:rPr>
                <w:b w:val="false"/>
                <w:bCs w:val="false"/>
              </w:rPr>
              <w:t xml:space="preserve">SCIM user provisioning</w:t>
            </w:r>
          </w:p>
        </w:tc>
        <w:tc>
          <w:tcPr>
            <w:tcW w:type="dxa" w:w="1900"/>
            <w:tcBorders>
              <w:top w:val="single" w:color="CCCCCC" w:sz="4"/>
              <w:left w:val="single" w:color="CCCCCC" w:sz="4"/>
              <w:bottom w:val="single" w:color="CCCCCC" w:sz="4"/>
              <w:right w:val="single" w:color="CCCCCC" w:sz="4"/>
            </w:tcBorders>
            <w:shd w:fill="F5F8FA" w:val="clear"/>
            <w:tcMar>
              <w:top w:type="dxa" w:w="100"/>
              <w:left w:type="dxa" w:w="140"/>
              <w:bottom w:type="dxa" w:w="100"/>
              <w:right w:type="dxa" w:w="140"/>
            </w:tcMar>
          </w:tcPr>
          <w:p>
            <w:r>
              <w:rPr>
                <w:b w:val="false"/>
                <w:bCs w:val="false"/>
              </w:rPr>
              <w:t xml:space="preserve">Yes</w:t>
            </w:r>
          </w:p>
        </w:tc>
        <w:tc>
          <w:tcPr>
            <w:tcW w:type="dxa" w:w="1900"/>
            <w:tcBorders>
              <w:top w:val="single" w:color="CCCCCC" w:sz="4"/>
              <w:left w:val="single" w:color="CCCCCC" w:sz="4"/>
              <w:bottom w:val="single" w:color="CCCCCC" w:sz="4"/>
              <w:right w:val="single" w:color="CCCCCC" w:sz="4"/>
            </w:tcBorders>
            <w:shd w:fill="F5F8FA" w:val="clear"/>
            <w:tcMar>
              <w:top w:type="dxa" w:w="100"/>
              <w:left w:type="dxa" w:w="140"/>
              <w:bottom w:type="dxa" w:w="100"/>
              <w:right w:type="dxa" w:w="140"/>
            </w:tcMar>
          </w:tcPr>
          <w:p>
            <w:r>
              <w:rPr>
                <w:b w:val="false"/>
                <w:bCs w:val="false"/>
              </w:rPr>
              <w:t xml:space="preserve">Yes</w:t>
            </w:r>
          </w:p>
        </w:tc>
        <w:tc>
          <w:tcPr>
            <w:tcW w:type="dxa" w:w="1900"/>
            <w:tcBorders>
              <w:top w:val="single" w:color="CCCCCC" w:sz="4"/>
              <w:left w:val="single" w:color="CCCCCC" w:sz="4"/>
              <w:bottom w:val="single" w:color="CCCCCC" w:sz="4"/>
              <w:right w:val="single" w:color="CCCCCC" w:sz="4"/>
            </w:tcBorders>
            <w:shd w:fill="F5F8FA" w:val="clear"/>
            <w:tcMar>
              <w:top w:type="dxa" w:w="100"/>
              <w:left w:type="dxa" w:w="140"/>
              <w:bottom w:type="dxa" w:w="100"/>
              <w:right w:type="dxa" w:w="140"/>
            </w:tcMar>
          </w:tcPr>
          <w:p>
            <w:r>
              <w:rPr>
                <w:b w:val="false"/>
                <w:bCs w:val="false"/>
              </w:rPr>
              <w:t xml:space="preserve">Yes</w:t>
            </w:r>
          </w:p>
        </w:tc>
        <w:tc>
          <w:tcPr>
            <w:tcW w:type="dxa" w:w="1760"/>
            <w:tcBorders>
              <w:top w:val="single" w:color="CCCCCC" w:sz="4"/>
              <w:left w:val="single" w:color="CCCCCC" w:sz="4"/>
              <w:bottom w:val="single" w:color="CCCCCC" w:sz="4"/>
              <w:right w:val="single" w:color="CCCCCC" w:sz="4"/>
            </w:tcBorders>
            <w:shd w:fill="F5F8FA" w:val="clear"/>
            <w:tcMar>
              <w:top w:type="dxa" w:w="100"/>
              <w:left w:type="dxa" w:w="140"/>
              <w:bottom w:type="dxa" w:w="100"/>
              <w:right w:type="dxa" w:w="140"/>
            </w:tcMar>
          </w:tcPr>
          <w:p>
            <w:r>
              <w:rPr>
                <w:b w:val="false"/>
                <w:bCs w:val="false"/>
              </w:rPr>
              <w:t xml:space="preserve">Yes</w:t>
            </w:r>
          </w:p>
        </w:tc>
      </w:tr>
      <w:tr>
        <w:trPr>
          <w:tblHeader w:val="false"/>
        </w:trPr>
        <w:tc>
          <w:tcPr>
            <w:tcW w:type="dxa" w:w="19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Audit logs</w:t>
            </w:r>
          </w:p>
        </w:tc>
        <w:tc>
          <w:tcPr>
            <w:tcW w:type="dxa" w:w="19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Yes</w:t>
            </w:r>
          </w:p>
        </w:tc>
        <w:tc>
          <w:tcPr>
            <w:tcW w:type="dxa" w:w="19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Yes (Purview)</w:t>
            </w:r>
          </w:p>
        </w:tc>
        <w:tc>
          <w:tcPr>
            <w:tcW w:type="dxa" w:w="19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Yes</w:t>
            </w:r>
          </w:p>
        </w:tc>
        <w:tc>
          <w:tcPr>
            <w:tcW w:type="dxa" w:w="17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Yes</w:t>
            </w:r>
          </w:p>
        </w:tc>
      </w:tr>
      <w:tr>
        <w:trPr>
          <w:tblHeader w:val="false"/>
        </w:trPr>
        <w:tc>
          <w:tcPr>
            <w:tcW w:type="dxa" w:w="1900"/>
            <w:tcBorders>
              <w:top w:val="single" w:color="CCCCCC" w:sz="4"/>
              <w:left w:val="single" w:color="CCCCCC" w:sz="4"/>
              <w:bottom w:val="single" w:color="CCCCCC" w:sz="4"/>
              <w:right w:val="single" w:color="CCCCCC" w:sz="4"/>
            </w:tcBorders>
            <w:shd w:fill="F5F8FA" w:val="clear"/>
            <w:tcMar>
              <w:top w:type="dxa" w:w="100"/>
              <w:left w:type="dxa" w:w="140"/>
              <w:bottom w:type="dxa" w:w="100"/>
              <w:right w:type="dxa" w:w="140"/>
            </w:tcMar>
          </w:tcPr>
          <w:p>
            <w:r>
              <w:rPr>
                <w:b w:val="false"/>
                <w:bCs w:val="false"/>
              </w:rPr>
              <w:t xml:space="preserve">Zero-retention on prompts</w:t>
            </w:r>
          </w:p>
        </w:tc>
        <w:tc>
          <w:tcPr>
            <w:tcW w:type="dxa" w:w="1900"/>
            <w:tcBorders>
              <w:top w:val="single" w:color="CCCCCC" w:sz="4"/>
              <w:left w:val="single" w:color="CCCCCC" w:sz="4"/>
              <w:bottom w:val="single" w:color="CCCCCC" w:sz="4"/>
              <w:right w:val="single" w:color="CCCCCC" w:sz="4"/>
            </w:tcBorders>
            <w:shd w:fill="F5F8FA" w:val="clear"/>
            <w:tcMar>
              <w:top w:type="dxa" w:w="100"/>
              <w:left w:type="dxa" w:w="140"/>
              <w:bottom w:type="dxa" w:w="100"/>
              <w:right w:type="dxa" w:w="140"/>
            </w:tcMar>
          </w:tcPr>
          <w:p>
            <w:r>
              <w:rPr>
                <w:b w:val="false"/>
                <w:bCs w:val="false"/>
              </w:rPr>
              <w:t xml:space="preserve">Yes (default)</w:t>
            </w:r>
          </w:p>
        </w:tc>
        <w:tc>
          <w:tcPr>
            <w:tcW w:type="dxa" w:w="1900"/>
            <w:tcBorders>
              <w:top w:val="single" w:color="CCCCCC" w:sz="4"/>
              <w:left w:val="single" w:color="CCCCCC" w:sz="4"/>
              <w:bottom w:val="single" w:color="CCCCCC" w:sz="4"/>
              <w:right w:val="single" w:color="CCCCCC" w:sz="4"/>
            </w:tcBorders>
            <w:shd w:fill="F5F8FA" w:val="clear"/>
            <w:tcMar>
              <w:top w:type="dxa" w:w="100"/>
              <w:left w:type="dxa" w:w="140"/>
              <w:bottom w:type="dxa" w:w="100"/>
              <w:right w:type="dxa" w:w="140"/>
            </w:tcMar>
          </w:tcPr>
          <w:p>
            <w:r>
              <w:rPr>
                <w:b w:val="false"/>
                <w:bCs w:val="false"/>
              </w:rPr>
              <w:t xml:space="preserve">Tenant-scoped, EDP</w:t>
            </w:r>
          </w:p>
        </w:tc>
        <w:tc>
          <w:tcPr>
            <w:tcW w:type="dxa" w:w="1900"/>
            <w:tcBorders>
              <w:top w:val="single" w:color="CCCCCC" w:sz="4"/>
              <w:left w:val="single" w:color="CCCCCC" w:sz="4"/>
              <w:bottom w:val="single" w:color="CCCCCC" w:sz="4"/>
              <w:right w:val="single" w:color="CCCCCC" w:sz="4"/>
            </w:tcBorders>
            <w:shd w:fill="F5F8FA" w:val="clear"/>
            <w:tcMar>
              <w:top w:type="dxa" w:w="100"/>
              <w:left w:type="dxa" w:w="140"/>
              <w:bottom w:type="dxa" w:w="100"/>
              <w:right w:type="dxa" w:w="140"/>
            </w:tcMar>
          </w:tcPr>
          <w:p>
            <w:r>
              <w:rPr>
                <w:b w:val="false"/>
                <w:bCs w:val="false"/>
              </w:rPr>
              <w:t xml:space="preserve">Yes (default)</w:t>
            </w:r>
          </w:p>
        </w:tc>
        <w:tc>
          <w:tcPr>
            <w:tcW w:type="dxa" w:w="1760"/>
            <w:tcBorders>
              <w:top w:val="single" w:color="CCCCCC" w:sz="4"/>
              <w:left w:val="single" w:color="CCCCCC" w:sz="4"/>
              <w:bottom w:val="single" w:color="CCCCCC" w:sz="4"/>
              <w:right w:val="single" w:color="CCCCCC" w:sz="4"/>
            </w:tcBorders>
            <w:shd w:fill="F5F8FA" w:val="clear"/>
            <w:tcMar>
              <w:top w:type="dxa" w:w="100"/>
              <w:left w:type="dxa" w:w="140"/>
              <w:bottom w:type="dxa" w:w="100"/>
              <w:right w:type="dxa" w:w="140"/>
            </w:tcMar>
          </w:tcPr>
          <w:p>
            <w:r>
              <w:rPr>
                <w:b w:val="false"/>
                <w:bCs w:val="false"/>
              </w:rPr>
              <w:t xml:space="preserve">Tenant-scoped</w:t>
            </w:r>
          </w:p>
        </w:tc>
      </w:tr>
      <w:tr>
        <w:trPr>
          <w:tblHeader w:val="false"/>
        </w:trPr>
        <w:tc>
          <w:tcPr>
            <w:tcW w:type="dxa" w:w="19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No training on customer data</w:t>
            </w:r>
          </w:p>
        </w:tc>
        <w:tc>
          <w:tcPr>
            <w:tcW w:type="dxa" w:w="19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Yes</w:t>
            </w:r>
          </w:p>
        </w:tc>
        <w:tc>
          <w:tcPr>
            <w:tcW w:type="dxa" w:w="19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Yes</w:t>
            </w:r>
          </w:p>
        </w:tc>
        <w:tc>
          <w:tcPr>
            <w:tcW w:type="dxa" w:w="19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Yes</w:t>
            </w:r>
          </w:p>
        </w:tc>
        <w:tc>
          <w:tcPr>
            <w:tcW w:type="dxa" w:w="17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Yes</w:t>
            </w:r>
          </w:p>
        </w:tc>
      </w:tr>
      <w:tr>
        <w:trPr>
          <w:tblHeader w:val="false"/>
        </w:trPr>
        <w:tc>
          <w:tcPr>
            <w:tcW w:type="dxa" w:w="1900"/>
            <w:tcBorders>
              <w:top w:val="single" w:color="CCCCCC" w:sz="4"/>
              <w:left w:val="single" w:color="CCCCCC" w:sz="4"/>
              <w:bottom w:val="single" w:color="CCCCCC" w:sz="4"/>
              <w:right w:val="single" w:color="CCCCCC" w:sz="4"/>
            </w:tcBorders>
            <w:shd w:fill="F5F8FA" w:val="clear"/>
            <w:tcMar>
              <w:top w:type="dxa" w:w="100"/>
              <w:left w:type="dxa" w:w="140"/>
              <w:bottom w:type="dxa" w:w="100"/>
              <w:right w:type="dxa" w:w="140"/>
            </w:tcMar>
          </w:tcPr>
          <w:p>
            <w:r>
              <w:rPr>
                <w:b w:val="false"/>
                <w:bCs w:val="false"/>
              </w:rPr>
              <w:t xml:space="preserve">DLP integration</w:t>
            </w:r>
          </w:p>
        </w:tc>
        <w:tc>
          <w:tcPr>
            <w:tcW w:type="dxa" w:w="1900"/>
            <w:tcBorders>
              <w:top w:val="single" w:color="CCCCCC" w:sz="4"/>
              <w:left w:val="single" w:color="CCCCCC" w:sz="4"/>
              <w:bottom w:val="single" w:color="CCCCCC" w:sz="4"/>
              <w:right w:val="single" w:color="CCCCCC" w:sz="4"/>
            </w:tcBorders>
            <w:shd w:fill="F5F8FA" w:val="clear"/>
            <w:tcMar>
              <w:top w:type="dxa" w:w="100"/>
              <w:left w:type="dxa" w:w="140"/>
              <w:bottom w:type="dxa" w:w="100"/>
              <w:right w:type="dxa" w:w="140"/>
            </w:tcMar>
          </w:tcPr>
          <w:p>
            <w:r>
              <w:rPr>
                <w:b w:val="false"/>
                <w:bCs w:val="false"/>
              </w:rPr>
              <w:t xml:space="preserve">Yes (via API + partners)</w:t>
            </w:r>
          </w:p>
        </w:tc>
        <w:tc>
          <w:tcPr>
            <w:tcW w:type="dxa" w:w="1900"/>
            <w:tcBorders>
              <w:top w:val="single" w:color="CCCCCC" w:sz="4"/>
              <w:left w:val="single" w:color="CCCCCC" w:sz="4"/>
              <w:bottom w:val="single" w:color="CCCCCC" w:sz="4"/>
              <w:right w:val="single" w:color="CCCCCC" w:sz="4"/>
            </w:tcBorders>
            <w:shd w:fill="F5F8FA" w:val="clear"/>
            <w:tcMar>
              <w:top w:type="dxa" w:w="100"/>
              <w:left w:type="dxa" w:w="140"/>
              <w:bottom w:type="dxa" w:w="100"/>
              <w:right w:type="dxa" w:w="140"/>
            </w:tcMar>
          </w:tcPr>
          <w:p>
            <w:r>
              <w:rPr>
                <w:b w:val="false"/>
                <w:bCs w:val="false"/>
              </w:rPr>
              <w:t xml:space="preserve">Native (Purview)</w:t>
            </w:r>
          </w:p>
        </w:tc>
        <w:tc>
          <w:tcPr>
            <w:tcW w:type="dxa" w:w="1900"/>
            <w:tcBorders>
              <w:top w:val="single" w:color="CCCCCC" w:sz="4"/>
              <w:left w:val="single" w:color="CCCCCC" w:sz="4"/>
              <w:bottom w:val="single" w:color="CCCCCC" w:sz="4"/>
              <w:right w:val="single" w:color="CCCCCC" w:sz="4"/>
            </w:tcBorders>
            <w:shd w:fill="F5F8FA" w:val="clear"/>
            <w:tcMar>
              <w:top w:type="dxa" w:w="100"/>
              <w:left w:type="dxa" w:w="140"/>
              <w:bottom w:type="dxa" w:w="100"/>
              <w:right w:type="dxa" w:w="140"/>
            </w:tcMar>
          </w:tcPr>
          <w:p>
            <w:r>
              <w:rPr>
                <w:b w:val="false"/>
                <w:bCs w:val="false"/>
              </w:rPr>
              <w:t xml:space="preserve">Yes</w:t>
            </w:r>
          </w:p>
        </w:tc>
        <w:tc>
          <w:tcPr>
            <w:tcW w:type="dxa" w:w="1760"/>
            <w:tcBorders>
              <w:top w:val="single" w:color="CCCCCC" w:sz="4"/>
              <w:left w:val="single" w:color="CCCCCC" w:sz="4"/>
              <w:bottom w:val="single" w:color="CCCCCC" w:sz="4"/>
              <w:right w:val="single" w:color="CCCCCC" w:sz="4"/>
            </w:tcBorders>
            <w:shd w:fill="F5F8FA" w:val="clear"/>
            <w:tcMar>
              <w:top w:type="dxa" w:w="100"/>
              <w:left w:type="dxa" w:w="140"/>
              <w:bottom w:type="dxa" w:w="100"/>
              <w:right w:type="dxa" w:w="140"/>
            </w:tcMar>
          </w:tcPr>
          <w:p>
            <w:r>
              <w:rPr>
                <w:b w:val="false"/>
                <w:bCs w:val="false"/>
              </w:rPr>
              <w:t xml:space="preserve">Native (Workspace)</w:t>
            </w:r>
          </w:p>
        </w:tc>
      </w:tr>
      <w:tr>
        <w:trPr>
          <w:tblHeader w:val="false"/>
        </w:trPr>
        <w:tc>
          <w:tcPr>
            <w:tcW w:type="dxa" w:w="19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HIPAA BAA available</w:t>
            </w:r>
          </w:p>
        </w:tc>
        <w:tc>
          <w:tcPr>
            <w:tcW w:type="dxa" w:w="19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Yes</w:t>
            </w:r>
          </w:p>
        </w:tc>
        <w:tc>
          <w:tcPr>
            <w:tcW w:type="dxa" w:w="19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Yes</w:t>
            </w:r>
          </w:p>
        </w:tc>
        <w:tc>
          <w:tcPr>
            <w:tcW w:type="dxa" w:w="19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Yes</w:t>
            </w:r>
          </w:p>
        </w:tc>
        <w:tc>
          <w:tcPr>
            <w:tcW w:type="dxa" w:w="17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Yes</w:t>
            </w:r>
          </w:p>
        </w:tc>
      </w:tr>
      <w:tr>
        <w:trPr>
          <w:tblHeader w:val="false"/>
        </w:trPr>
        <w:tc>
          <w:tcPr>
            <w:tcW w:type="dxa" w:w="1900"/>
            <w:tcBorders>
              <w:top w:val="single" w:color="CCCCCC" w:sz="4"/>
              <w:left w:val="single" w:color="CCCCCC" w:sz="4"/>
              <w:bottom w:val="single" w:color="CCCCCC" w:sz="4"/>
              <w:right w:val="single" w:color="CCCCCC" w:sz="4"/>
            </w:tcBorders>
            <w:shd w:fill="F5F8FA" w:val="clear"/>
            <w:tcMar>
              <w:top w:type="dxa" w:w="100"/>
              <w:left w:type="dxa" w:w="140"/>
              <w:bottom w:type="dxa" w:w="100"/>
              <w:right w:type="dxa" w:w="140"/>
            </w:tcMar>
          </w:tcPr>
          <w:p>
            <w:r>
              <w:rPr>
                <w:b w:val="false"/>
                <w:bCs w:val="false"/>
              </w:rPr>
              <w:t xml:space="preserve">SOC 2 Type II</w:t>
            </w:r>
          </w:p>
        </w:tc>
        <w:tc>
          <w:tcPr>
            <w:tcW w:type="dxa" w:w="1900"/>
            <w:tcBorders>
              <w:top w:val="single" w:color="CCCCCC" w:sz="4"/>
              <w:left w:val="single" w:color="CCCCCC" w:sz="4"/>
              <w:bottom w:val="single" w:color="CCCCCC" w:sz="4"/>
              <w:right w:val="single" w:color="CCCCCC" w:sz="4"/>
            </w:tcBorders>
            <w:shd w:fill="F5F8FA" w:val="clear"/>
            <w:tcMar>
              <w:top w:type="dxa" w:w="100"/>
              <w:left w:type="dxa" w:w="140"/>
              <w:bottom w:type="dxa" w:w="100"/>
              <w:right w:type="dxa" w:w="140"/>
            </w:tcMar>
          </w:tcPr>
          <w:p>
            <w:r>
              <w:rPr>
                <w:b w:val="false"/>
                <w:bCs w:val="false"/>
              </w:rPr>
              <w:t xml:space="preserve">Yes</w:t>
            </w:r>
          </w:p>
        </w:tc>
        <w:tc>
          <w:tcPr>
            <w:tcW w:type="dxa" w:w="1900"/>
            <w:tcBorders>
              <w:top w:val="single" w:color="CCCCCC" w:sz="4"/>
              <w:left w:val="single" w:color="CCCCCC" w:sz="4"/>
              <w:bottom w:val="single" w:color="CCCCCC" w:sz="4"/>
              <w:right w:val="single" w:color="CCCCCC" w:sz="4"/>
            </w:tcBorders>
            <w:shd w:fill="F5F8FA" w:val="clear"/>
            <w:tcMar>
              <w:top w:type="dxa" w:w="100"/>
              <w:left w:type="dxa" w:w="140"/>
              <w:bottom w:type="dxa" w:w="100"/>
              <w:right w:type="dxa" w:w="140"/>
            </w:tcMar>
          </w:tcPr>
          <w:p>
            <w:r>
              <w:rPr>
                <w:b w:val="false"/>
                <w:bCs w:val="false"/>
              </w:rPr>
              <w:t xml:space="preserve">Yes</w:t>
            </w:r>
          </w:p>
        </w:tc>
        <w:tc>
          <w:tcPr>
            <w:tcW w:type="dxa" w:w="1900"/>
            <w:tcBorders>
              <w:top w:val="single" w:color="CCCCCC" w:sz="4"/>
              <w:left w:val="single" w:color="CCCCCC" w:sz="4"/>
              <w:bottom w:val="single" w:color="CCCCCC" w:sz="4"/>
              <w:right w:val="single" w:color="CCCCCC" w:sz="4"/>
            </w:tcBorders>
            <w:shd w:fill="F5F8FA" w:val="clear"/>
            <w:tcMar>
              <w:top w:type="dxa" w:w="100"/>
              <w:left w:type="dxa" w:w="140"/>
              <w:bottom w:type="dxa" w:w="100"/>
              <w:right w:type="dxa" w:w="140"/>
            </w:tcMar>
          </w:tcPr>
          <w:p>
            <w:r>
              <w:rPr>
                <w:b w:val="false"/>
                <w:bCs w:val="false"/>
              </w:rPr>
              <w:t xml:space="preserve">Yes</w:t>
            </w:r>
          </w:p>
        </w:tc>
        <w:tc>
          <w:tcPr>
            <w:tcW w:type="dxa" w:w="1760"/>
            <w:tcBorders>
              <w:top w:val="single" w:color="CCCCCC" w:sz="4"/>
              <w:left w:val="single" w:color="CCCCCC" w:sz="4"/>
              <w:bottom w:val="single" w:color="CCCCCC" w:sz="4"/>
              <w:right w:val="single" w:color="CCCCCC" w:sz="4"/>
            </w:tcBorders>
            <w:shd w:fill="F5F8FA" w:val="clear"/>
            <w:tcMar>
              <w:top w:type="dxa" w:w="100"/>
              <w:left w:type="dxa" w:w="140"/>
              <w:bottom w:type="dxa" w:w="100"/>
              <w:right w:type="dxa" w:w="140"/>
            </w:tcMar>
          </w:tcPr>
          <w:p>
            <w:r>
              <w:rPr>
                <w:b w:val="false"/>
                <w:bCs w:val="false"/>
              </w:rPr>
              <w:t xml:space="preserve">Yes</w:t>
            </w:r>
          </w:p>
        </w:tc>
      </w:tr>
      <w:tr>
        <w:trPr>
          <w:tblHeader w:val="false"/>
        </w:trPr>
        <w:tc>
          <w:tcPr>
            <w:tcW w:type="dxa" w:w="19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Data residency options</w:t>
            </w:r>
          </w:p>
        </w:tc>
        <w:tc>
          <w:tcPr>
            <w:tcW w:type="dxa" w:w="19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US, EU</w:t>
            </w:r>
          </w:p>
        </w:tc>
        <w:tc>
          <w:tcPr>
            <w:tcW w:type="dxa" w:w="19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Regional (M365)</w:t>
            </w:r>
          </w:p>
        </w:tc>
        <w:tc>
          <w:tcPr>
            <w:tcW w:type="dxa" w:w="19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US, EU</w:t>
            </w:r>
          </w:p>
        </w:tc>
        <w:tc>
          <w:tcPr>
            <w:tcW w:type="dxa" w:w="17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Regional (Workspace)</w:t>
            </w:r>
          </w:p>
        </w:tc>
      </w:tr>
      <w:tr>
        <w:trPr>
          <w:tblHeader w:val="false"/>
        </w:trPr>
        <w:tc>
          <w:tcPr>
            <w:tcW w:type="dxa" w:w="1900"/>
            <w:tcBorders>
              <w:top w:val="single" w:color="CCCCCC" w:sz="4"/>
              <w:left w:val="single" w:color="CCCCCC" w:sz="4"/>
              <w:bottom w:val="single" w:color="CCCCCC" w:sz="4"/>
              <w:right w:val="single" w:color="CCCCCC" w:sz="4"/>
            </w:tcBorders>
            <w:shd w:fill="F5F8FA" w:val="clear"/>
            <w:tcMar>
              <w:top w:type="dxa" w:w="100"/>
              <w:left w:type="dxa" w:w="140"/>
              <w:bottom w:type="dxa" w:w="100"/>
              <w:right w:type="dxa" w:w="140"/>
            </w:tcMar>
          </w:tcPr>
          <w:p>
            <w:r>
              <w:rPr>
                <w:b w:val="false"/>
                <w:bCs w:val="false"/>
              </w:rPr>
              <w:t xml:space="preserve">Approximate price</w:t>
            </w:r>
          </w:p>
        </w:tc>
        <w:tc>
          <w:tcPr>
            <w:tcW w:type="dxa" w:w="1900"/>
            <w:tcBorders>
              <w:top w:val="single" w:color="CCCCCC" w:sz="4"/>
              <w:left w:val="single" w:color="CCCCCC" w:sz="4"/>
              <w:bottom w:val="single" w:color="CCCCCC" w:sz="4"/>
              <w:right w:val="single" w:color="CCCCCC" w:sz="4"/>
            </w:tcBorders>
            <w:shd w:fill="F5F8FA" w:val="clear"/>
            <w:tcMar>
              <w:top w:type="dxa" w:w="100"/>
              <w:left w:type="dxa" w:w="140"/>
              <w:bottom w:type="dxa" w:w="100"/>
              <w:right w:type="dxa" w:w="140"/>
            </w:tcMar>
          </w:tcPr>
          <w:p>
            <w:r>
              <w:rPr>
                <w:b w:val="false"/>
                <w:bCs w:val="false"/>
              </w:rPr>
              <w:t xml:space="preserve">~$60/seat, 70-seat min</w:t>
            </w:r>
          </w:p>
        </w:tc>
        <w:tc>
          <w:tcPr>
            <w:tcW w:type="dxa" w:w="1900"/>
            <w:tcBorders>
              <w:top w:val="single" w:color="CCCCCC" w:sz="4"/>
              <w:left w:val="single" w:color="CCCCCC" w:sz="4"/>
              <w:bottom w:val="single" w:color="CCCCCC" w:sz="4"/>
              <w:right w:val="single" w:color="CCCCCC" w:sz="4"/>
            </w:tcBorders>
            <w:shd w:fill="F5F8FA" w:val="clear"/>
            <w:tcMar>
              <w:top w:type="dxa" w:w="100"/>
              <w:left w:type="dxa" w:w="140"/>
              <w:bottom w:type="dxa" w:w="100"/>
              <w:right w:type="dxa" w:w="140"/>
            </w:tcMar>
          </w:tcPr>
          <w:p>
            <w:r>
              <w:rPr>
                <w:b w:val="false"/>
                <w:bCs w:val="false"/>
              </w:rPr>
              <w:t xml:space="preserve">$30/user/mo + M365</w:t>
            </w:r>
          </w:p>
        </w:tc>
        <w:tc>
          <w:tcPr>
            <w:tcW w:type="dxa" w:w="1900"/>
            <w:tcBorders>
              <w:top w:val="single" w:color="CCCCCC" w:sz="4"/>
              <w:left w:val="single" w:color="CCCCCC" w:sz="4"/>
              <w:bottom w:val="single" w:color="CCCCCC" w:sz="4"/>
              <w:right w:val="single" w:color="CCCCCC" w:sz="4"/>
            </w:tcBorders>
            <w:shd w:fill="F5F8FA" w:val="clear"/>
            <w:tcMar>
              <w:top w:type="dxa" w:w="100"/>
              <w:left w:type="dxa" w:w="140"/>
              <w:bottom w:type="dxa" w:w="100"/>
              <w:right w:type="dxa" w:w="140"/>
            </w:tcMar>
          </w:tcPr>
          <w:p>
            <w:r>
              <w:rPr>
                <w:b w:val="false"/>
                <w:bCs w:val="false"/>
              </w:rPr>
              <w:t xml:space="preserve">Custom quote</w:t>
            </w:r>
          </w:p>
        </w:tc>
        <w:tc>
          <w:tcPr>
            <w:tcW w:type="dxa" w:w="1760"/>
            <w:tcBorders>
              <w:top w:val="single" w:color="CCCCCC" w:sz="4"/>
              <w:left w:val="single" w:color="CCCCCC" w:sz="4"/>
              <w:bottom w:val="single" w:color="CCCCCC" w:sz="4"/>
              <w:right w:val="single" w:color="CCCCCC" w:sz="4"/>
            </w:tcBorders>
            <w:shd w:fill="F5F8FA" w:val="clear"/>
            <w:tcMar>
              <w:top w:type="dxa" w:w="100"/>
              <w:left w:type="dxa" w:w="140"/>
              <w:bottom w:type="dxa" w:w="100"/>
              <w:right w:type="dxa" w:w="140"/>
            </w:tcMar>
          </w:tcPr>
          <w:p>
            <w:r>
              <w:rPr>
                <w:b w:val="false"/>
                <w:bCs w:val="false"/>
              </w:rPr>
              <w:t xml:space="preserve">Bundled w/ Workspace</w:t>
            </w:r>
          </w:p>
        </w:tc>
      </w:tr>
    </w:tbl>
    <w:p>
      <w:pPr>
        <w:shd w:fill="E8F4F8" w:val="clear"/>
        <w:spacing w:after="160" w:before="160"/>
        <w:ind w:left="240" w:right="240"/>
      </w:pPr>
      <w:r>
        <w:rPr>
          <w:b/>
          <w:bCs/>
          <w:color w:val="1F4E79"/>
        </w:rPr>
        <w:t xml:space="preserve">Prices are approximate, April 2026: </w:t>
      </w:r>
      <w:r>
        <w:t xml:space="preserve">Always verify current pricing with the provider before quoting a client. Licensing is competitive and tiers shift quickly. Enterprise agreements are negotiable at scale — the published number is a ceiling, not a floor.</w:t>
      </w:r>
    </w:p>
    <w:p>
      <w:pPr>
        <w:pStyle w:val="Heading1"/>
      </w:pPr>
      <w:r>
        <w:t xml:space="preserve">9. Where the Data Lives</w:t>
      </w:r>
    </w:p>
    <w:p>
      <w:pPr>
        <w:spacing w:after="80" w:before="80"/>
      </w:pPr>
      <w:r>
        <w:t xml:space="preserve">"Where does my data go?" is the single most common security question Drew will get. Below is the honest answer per provider.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060"/>
        <w:gridCol w:w="1500"/>
        <w:gridCol w:w="2400"/>
        <w:gridCol w:w="1500"/>
      </w:tblGrid>
      <w:tr>
        <w:trPr>
          <w:tblHeader/>
        </w:trPr>
        <w:tc>
          <w:tcPr>
            <w:tcW w:type="dxa" w:w="1900"/>
            <w:tcBorders>
              <w:top w:val="single" w:color="CCCCCC" w:sz="4"/>
              <w:left w:val="single" w:color="CCCCCC" w:sz="4"/>
              <w:bottom w:val="single" w:color="CCCCCC" w:sz="4"/>
              <w:right w:val="single" w:color="CCCCCC" w:sz="4"/>
            </w:tcBorders>
            <w:shd w:fill="D5E8F0" w:val="clear"/>
            <w:tcMar>
              <w:top w:type="dxa" w:w="100"/>
              <w:left w:type="dxa" w:w="140"/>
              <w:bottom w:type="dxa" w:w="100"/>
              <w:right w:type="dxa" w:w="140"/>
            </w:tcMar>
          </w:tcPr>
          <w:p>
            <w:r>
              <w:rPr>
                <w:b/>
                <w:bCs/>
              </w:rPr>
              <w:t xml:space="preserve">Provider</w:t>
            </w:r>
          </w:p>
        </w:tc>
        <w:tc>
          <w:tcPr>
            <w:tcW w:type="dxa" w:w="2060"/>
            <w:tcBorders>
              <w:top w:val="single" w:color="CCCCCC" w:sz="4"/>
              <w:left w:val="single" w:color="CCCCCC" w:sz="4"/>
              <w:bottom w:val="single" w:color="CCCCCC" w:sz="4"/>
              <w:right w:val="single" w:color="CCCCCC" w:sz="4"/>
            </w:tcBorders>
            <w:shd w:fill="D5E8F0" w:val="clear"/>
            <w:tcMar>
              <w:top w:type="dxa" w:w="100"/>
              <w:left w:type="dxa" w:w="140"/>
              <w:bottom w:type="dxa" w:w="100"/>
              <w:right w:type="dxa" w:w="140"/>
            </w:tcMar>
          </w:tcPr>
          <w:p>
            <w:r>
              <w:rPr>
                <w:b/>
                <w:bCs/>
              </w:rPr>
              <w:t xml:space="preserve">Hosted in</w:t>
            </w:r>
          </w:p>
        </w:tc>
        <w:tc>
          <w:tcPr>
            <w:tcW w:type="dxa" w:w="1500"/>
            <w:tcBorders>
              <w:top w:val="single" w:color="CCCCCC" w:sz="4"/>
              <w:left w:val="single" w:color="CCCCCC" w:sz="4"/>
              <w:bottom w:val="single" w:color="CCCCCC" w:sz="4"/>
              <w:right w:val="single" w:color="CCCCCC" w:sz="4"/>
            </w:tcBorders>
            <w:shd w:fill="D5E8F0" w:val="clear"/>
            <w:tcMar>
              <w:top w:type="dxa" w:w="100"/>
              <w:left w:type="dxa" w:w="140"/>
              <w:bottom w:type="dxa" w:w="100"/>
              <w:right w:type="dxa" w:w="140"/>
            </w:tcMar>
          </w:tcPr>
          <w:p>
            <w:r>
              <w:rPr>
                <w:b/>
                <w:bCs/>
              </w:rPr>
              <w:t xml:space="preserve">Regional options</w:t>
            </w:r>
          </w:p>
        </w:tc>
        <w:tc>
          <w:tcPr>
            <w:tcW w:type="dxa" w:w="2400"/>
            <w:tcBorders>
              <w:top w:val="single" w:color="CCCCCC" w:sz="4"/>
              <w:left w:val="single" w:color="CCCCCC" w:sz="4"/>
              <w:bottom w:val="single" w:color="CCCCCC" w:sz="4"/>
              <w:right w:val="single" w:color="CCCCCC" w:sz="4"/>
            </w:tcBorders>
            <w:shd w:fill="D5E8F0" w:val="clear"/>
            <w:tcMar>
              <w:top w:type="dxa" w:w="100"/>
              <w:left w:type="dxa" w:w="140"/>
              <w:bottom w:type="dxa" w:w="100"/>
              <w:right w:type="dxa" w:w="140"/>
            </w:tcMar>
          </w:tcPr>
          <w:p>
            <w:r>
              <w:rPr>
                <w:b/>
                <w:bCs/>
              </w:rPr>
              <w:t xml:space="preserve">Retention posture</w:t>
            </w:r>
          </w:p>
        </w:tc>
        <w:tc>
          <w:tcPr>
            <w:tcW w:type="dxa" w:w="1500"/>
            <w:tcBorders>
              <w:top w:val="single" w:color="CCCCCC" w:sz="4"/>
              <w:left w:val="single" w:color="CCCCCC" w:sz="4"/>
              <w:bottom w:val="single" w:color="CCCCCC" w:sz="4"/>
              <w:right w:val="single" w:color="CCCCCC" w:sz="4"/>
            </w:tcBorders>
            <w:shd w:fill="D5E8F0" w:val="clear"/>
            <w:tcMar>
              <w:top w:type="dxa" w:w="100"/>
              <w:left w:type="dxa" w:w="140"/>
              <w:bottom w:type="dxa" w:w="100"/>
              <w:right w:type="dxa" w:w="140"/>
            </w:tcMar>
          </w:tcPr>
          <w:p>
            <w:r>
              <w:rPr>
                <w:b/>
                <w:bCs/>
              </w:rPr>
              <w:t xml:space="preserve">Training on your data?</w:t>
            </w:r>
          </w:p>
        </w:tc>
      </w:tr>
      <w:tr>
        <w:trPr>
          <w:tblHeader w:val="false"/>
        </w:trPr>
        <w:tc>
          <w:tcPr>
            <w:tcW w:type="dxa" w:w="19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Claude (Anthropic)</w:t>
            </w:r>
          </w:p>
        </w:tc>
        <w:tc>
          <w:tcPr>
            <w:tcW w:type="dxa" w:w="20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Anthropic cloud; also available via AWS Bedrock, Google Vertex AI.</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US, EU.</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Zero-retention default on Enterprise; 30-day by default on API for abuse monitoring (waivable).</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No — not used to train base models.</w:t>
            </w:r>
          </w:p>
        </w:tc>
      </w:tr>
      <w:tr>
        <w:trPr>
          <w:tblHeader w:val="false"/>
        </w:trPr>
        <w:tc>
          <w:tcPr>
            <w:tcW w:type="dxa" w:w="1900"/>
            <w:tcBorders>
              <w:top w:val="single" w:color="CCCCCC" w:sz="4"/>
              <w:left w:val="single" w:color="CCCCCC" w:sz="4"/>
              <w:bottom w:val="single" w:color="CCCCCC" w:sz="4"/>
              <w:right w:val="single" w:color="CCCCCC" w:sz="4"/>
            </w:tcBorders>
            <w:shd w:fill="F5F8FA" w:val="clear"/>
            <w:tcMar>
              <w:top w:type="dxa" w:w="100"/>
              <w:left w:type="dxa" w:w="140"/>
              <w:bottom w:type="dxa" w:w="100"/>
              <w:right w:type="dxa" w:w="140"/>
            </w:tcMar>
          </w:tcPr>
          <w:p>
            <w:r>
              <w:rPr>
                <w:b w:val="false"/>
                <w:bCs w:val="false"/>
              </w:rPr>
              <w:t xml:space="preserve">M365 Copilot (Microsoft)</w:t>
            </w:r>
          </w:p>
        </w:tc>
        <w:tc>
          <w:tcPr>
            <w:tcW w:type="dxa" w:w="2060"/>
            <w:tcBorders>
              <w:top w:val="single" w:color="CCCCCC" w:sz="4"/>
              <w:left w:val="single" w:color="CCCCCC" w:sz="4"/>
              <w:bottom w:val="single" w:color="CCCCCC" w:sz="4"/>
              <w:right w:val="single" w:color="CCCCCC" w:sz="4"/>
            </w:tcBorders>
            <w:shd w:fill="F5F8FA" w:val="clear"/>
            <w:tcMar>
              <w:top w:type="dxa" w:w="100"/>
              <w:left w:type="dxa" w:w="140"/>
              <w:bottom w:type="dxa" w:w="100"/>
              <w:right w:type="dxa" w:w="140"/>
            </w:tcMar>
          </w:tcPr>
          <w:p>
            <w:r>
              <w:rPr>
                <w:b w:val="false"/>
                <w:bCs w:val="false"/>
              </w:rPr>
              <w:t xml:space="preserve">Microsoft tenant in client’s region.</w:t>
            </w:r>
          </w:p>
        </w:tc>
        <w:tc>
          <w:tcPr>
            <w:tcW w:type="dxa" w:w="1500"/>
            <w:tcBorders>
              <w:top w:val="single" w:color="CCCCCC" w:sz="4"/>
              <w:left w:val="single" w:color="CCCCCC" w:sz="4"/>
              <w:bottom w:val="single" w:color="CCCCCC" w:sz="4"/>
              <w:right w:val="single" w:color="CCCCCC" w:sz="4"/>
            </w:tcBorders>
            <w:shd w:fill="F5F8FA" w:val="clear"/>
            <w:tcMar>
              <w:top w:type="dxa" w:w="100"/>
              <w:left w:type="dxa" w:w="140"/>
              <w:bottom w:type="dxa" w:w="100"/>
              <w:right w:type="dxa" w:w="140"/>
            </w:tcMar>
          </w:tcPr>
          <w:p>
            <w:r>
              <w:rPr>
                <w:b w:val="false"/>
                <w:bCs w:val="false"/>
              </w:rPr>
              <w:t xml:space="preserve">Follows M365 residency.</w:t>
            </w:r>
          </w:p>
        </w:tc>
        <w:tc>
          <w:tcPr>
            <w:tcW w:type="dxa" w:w="2400"/>
            <w:tcBorders>
              <w:top w:val="single" w:color="CCCCCC" w:sz="4"/>
              <w:left w:val="single" w:color="CCCCCC" w:sz="4"/>
              <w:bottom w:val="single" w:color="CCCCCC" w:sz="4"/>
              <w:right w:val="single" w:color="CCCCCC" w:sz="4"/>
            </w:tcBorders>
            <w:shd w:fill="F5F8FA" w:val="clear"/>
            <w:tcMar>
              <w:top w:type="dxa" w:w="100"/>
              <w:left w:type="dxa" w:w="140"/>
              <w:bottom w:type="dxa" w:w="100"/>
              <w:right w:type="dxa" w:w="140"/>
            </w:tcMar>
          </w:tcPr>
          <w:p>
            <w:r>
              <w:rPr>
                <w:b w:val="false"/>
                <w:bCs w:val="false"/>
              </w:rPr>
              <w:t xml:space="preserve">Tenant-scoped, Enterprise Data Protection. Logs per Purview config.</w:t>
            </w:r>
          </w:p>
        </w:tc>
        <w:tc>
          <w:tcPr>
            <w:tcW w:type="dxa" w:w="1500"/>
            <w:tcBorders>
              <w:top w:val="single" w:color="CCCCCC" w:sz="4"/>
              <w:left w:val="single" w:color="CCCCCC" w:sz="4"/>
              <w:bottom w:val="single" w:color="CCCCCC" w:sz="4"/>
              <w:right w:val="single" w:color="CCCCCC" w:sz="4"/>
            </w:tcBorders>
            <w:shd w:fill="F5F8FA" w:val="clear"/>
            <w:tcMar>
              <w:top w:type="dxa" w:w="100"/>
              <w:left w:type="dxa" w:w="140"/>
              <w:bottom w:type="dxa" w:w="100"/>
              <w:right w:type="dxa" w:w="140"/>
            </w:tcMar>
          </w:tcPr>
          <w:p>
            <w:r>
              <w:rPr>
                <w:b w:val="false"/>
                <w:bCs w:val="false"/>
              </w:rPr>
              <w:t xml:space="preserve">No.</w:t>
            </w:r>
          </w:p>
        </w:tc>
      </w:tr>
      <w:tr>
        <w:trPr>
          <w:tblHeader w:val="false"/>
        </w:trPr>
        <w:tc>
          <w:tcPr>
            <w:tcW w:type="dxa" w:w="19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ChatGPT Enterprise (OpenAI)</w:t>
            </w:r>
          </w:p>
        </w:tc>
        <w:tc>
          <w:tcPr>
            <w:tcW w:type="dxa" w:w="20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OpenAI cloud; also via Azure OpenAI.</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US, EU (Azure OpenAI broadens this).</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Zero-retention default on Enterprise. 30-day abuse monitoring on API (waivable).</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No.</w:t>
            </w:r>
          </w:p>
        </w:tc>
      </w:tr>
      <w:tr>
        <w:trPr>
          <w:tblHeader w:val="false"/>
        </w:trPr>
        <w:tc>
          <w:tcPr>
            <w:tcW w:type="dxa" w:w="1900"/>
            <w:tcBorders>
              <w:top w:val="single" w:color="CCCCCC" w:sz="4"/>
              <w:left w:val="single" w:color="CCCCCC" w:sz="4"/>
              <w:bottom w:val="single" w:color="CCCCCC" w:sz="4"/>
              <w:right w:val="single" w:color="CCCCCC" w:sz="4"/>
            </w:tcBorders>
            <w:shd w:fill="F5F8FA" w:val="clear"/>
            <w:tcMar>
              <w:top w:type="dxa" w:w="100"/>
              <w:left w:type="dxa" w:w="140"/>
              <w:bottom w:type="dxa" w:w="100"/>
              <w:right w:type="dxa" w:w="140"/>
            </w:tcMar>
          </w:tcPr>
          <w:p>
            <w:r>
              <w:rPr>
                <w:b w:val="false"/>
                <w:bCs w:val="false"/>
              </w:rPr>
              <w:t xml:space="preserve">Gemini (Google)</w:t>
            </w:r>
          </w:p>
        </w:tc>
        <w:tc>
          <w:tcPr>
            <w:tcW w:type="dxa" w:w="2060"/>
            <w:tcBorders>
              <w:top w:val="single" w:color="CCCCCC" w:sz="4"/>
              <w:left w:val="single" w:color="CCCCCC" w:sz="4"/>
              <w:bottom w:val="single" w:color="CCCCCC" w:sz="4"/>
              <w:right w:val="single" w:color="CCCCCC" w:sz="4"/>
            </w:tcBorders>
            <w:shd w:fill="F5F8FA" w:val="clear"/>
            <w:tcMar>
              <w:top w:type="dxa" w:w="100"/>
              <w:left w:type="dxa" w:w="140"/>
              <w:bottom w:type="dxa" w:w="100"/>
              <w:right w:type="dxa" w:w="140"/>
            </w:tcMar>
          </w:tcPr>
          <w:p>
            <w:r>
              <w:rPr>
                <w:b w:val="false"/>
                <w:bCs w:val="false"/>
              </w:rPr>
              <w:t xml:space="preserve">Google Workspace tenant in client’s region.</w:t>
            </w:r>
          </w:p>
        </w:tc>
        <w:tc>
          <w:tcPr>
            <w:tcW w:type="dxa" w:w="1500"/>
            <w:tcBorders>
              <w:top w:val="single" w:color="CCCCCC" w:sz="4"/>
              <w:left w:val="single" w:color="CCCCCC" w:sz="4"/>
              <w:bottom w:val="single" w:color="CCCCCC" w:sz="4"/>
              <w:right w:val="single" w:color="CCCCCC" w:sz="4"/>
            </w:tcBorders>
            <w:shd w:fill="F5F8FA" w:val="clear"/>
            <w:tcMar>
              <w:top w:type="dxa" w:w="100"/>
              <w:left w:type="dxa" w:w="140"/>
              <w:bottom w:type="dxa" w:w="100"/>
              <w:right w:type="dxa" w:w="140"/>
            </w:tcMar>
          </w:tcPr>
          <w:p>
            <w:r>
              <w:rPr>
                <w:b w:val="false"/>
                <w:bCs w:val="false"/>
              </w:rPr>
              <w:t xml:space="preserve">Follows Workspace residency.</w:t>
            </w:r>
          </w:p>
        </w:tc>
        <w:tc>
          <w:tcPr>
            <w:tcW w:type="dxa" w:w="2400"/>
            <w:tcBorders>
              <w:top w:val="single" w:color="CCCCCC" w:sz="4"/>
              <w:left w:val="single" w:color="CCCCCC" w:sz="4"/>
              <w:bottom w:val="single" w:color="CCCCCC" w:sz="4"/>
              <w:right w:val="single" w:color="CCCCCC" w:sz="4"/>
            </w:tcBorders>
            <w:shd w:fill="F5F8FA" w:val="clear"/>
            <w:tcMar>
              <w:top w:type="dxa" w:w="100"/>
              <w:left w:type="dxa" w:w="140"/>
              <w:bottom w:type="dxa" w:w="100"/>
              <w:right w:type="dxa" w:w="140"/>
            </w:tcMar>
          </w:tcPr>
          <w:p>
            <w:r>
              <w:rPr>
                <w:b w:val="false"/>
                <w:bCs w:val="false"/>
              </w:rPr>
              <w:t xml:space="preserve">Tenant-scoped.</w:t>
            </w:r>
          </w:p>
        </w:tc>
        <w:tc>
          <w:tcPr>
            <w:tcW w:type="dxa" w:w="1500"/>
            <w:tcBorders>
              <w:top w:val="single" w:color="CCCCCC" w:sz="4"/>
              <w:left w:val="single" w:color="CCCCCC" w:sz="4"/>
              <w:bottom w:val="single" w:color="CCCCCC" w:sz="4"/>
              <w:right w:val="single" w:color="CCCCCC" w:sz="4"/>
            </w:tcBorders>
            <w:shd w:fill="F5F8FA" w:val="clear"/>
            <w:tcMar>
              <w:top w:type="dxa" w:w="100"/>
              <w:left w:type="dxa" w:w="140"/>
              <w:bottom w:type="dxa" w:w="100"/>
              <w:right w:type="dxa" w:w="140"/>
            </w:tcMar>
          </w:tcPr>
          <w:p>
            <w:r>
              <w:rPr>
                <w:b w:val="false"/>
                <w:bCs w:val="false"/>
              </w:rPr>
              <w:t xml:space="preserve">No on Workspace tier.</w:t>
            </w:r>
          </w:p>
        </w:tc>
      </w:tr>
    </w:tbl>
    <w:p>
      <w:pPr>
        <w:pStyle w:val="Heading2"/>
      </w:pPr>
      <w:r>
        <w:t xml:space="preserve">9.1 What "cloud-based" actually means</w:t>
      </w:r>
    </w:p>
    <w:p>
      <w:pPr>
        <w:spacing w:after="80" w:before="80"/>
      </w:pPr>
      <w:r>
        <w:t xml:space="preserve">Every major provider is cloud-hosted. For a client, the practical reality is this: data travels over HTTPS to the provider’s data center, lives inside a tenant that is isolated from other customers, is encrypted at rest, and is not used to train the provider’s base models on the Enterprise tier. When the AI responds, the output comes back the same way. The only copy the client needs to care about is what the client chooses to save — nothing persists on the AI side unless the client asks for it (via features like Projects or Workspaces).</w:t>
      </w:r>
    </w:p>
    <w:p>
      <w:pPr>
        <w:pStyle w:val="Heading2"/>
      </w:pPr>
      <w:r>
        <w:t xml:space="preserve">9.2 On-prem AI</w:t>
      </w:r>
    </w:p>
    <w:p>
      <w:pPr>
        <w:spacing w:after="80" w:before="80"/>
      </w:pPr>
      <w:r>
        <w:t xml:space="preserve">On-prem AI exists — self-hosted open-weight models like Llama, Qwen, and DeepSeek can run on a client’s own hardware. For SMB and mid-market, it is almost always the wrong answer: the cost of hardware, GPU scarcity, and operational burden outweighs the residency benefit. Reserve this conversation for clients with hard regulatory requirements that explicitly prohibit cloud AI.</w:t>
      </w:r>
    </w:p>
    <w:p>
      <w:pPr>
        <w:pStyle w:val="Heading1"/>
      </w:pPr>
      <w:r>
        <w:t xml:space="preserve">10. Security — What Clients Should Worry About</w:t>
      </w:r>
    </w:p>
    <w:p>
      <w:pPr>
        <w:spacing w:after="80" w:before="80"/>
      </w:pPr>
      <w:r>
        <w:t xml:space="preserve">Nine categories of risk, each with a concrete Katana control. Drew can walk any client through this table as the opening of a security conversation.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CCCCCC" w:sz="4"/>
              <w:left w:val="single" w:color="CCCCCC" w:sz="4"/>
              <w:bottom w:val="single" w:color="CCCCCC" w:sz="4"/>
              <w:right w:val="single" w:color="CCCCCC" w:sz="4"/>
            </w:tcBorders>
            <w:shd w:fill="D5E8F0" w:val="clear"/>
            <w:tcMar>
              <w:top w:type="dxa" w:w="100"/>
              <w:left w:type="dxa" w:w="140"/>
              <w:bottom w:type="dxa" w:w="100"/>
              <w:right w:type="dxa" w:w="140"/>
            </w:tcMar>
          </w:tcPr>
          <w:p>
            <w:r>
              <w:rPr>
                <w:b/>
                <w:bCs/>
              </w:rPr>
              <w:t xml:space="preserve">Concern</w:t>
            </w:r>
          </w:p>
        </w:tc>
        <w:tc>
          <w:tcPr>
            <w:tcW w:type="dxa" w:w="3680"/>
            <w:tcBorders>
              <w:top w:val="single" w:color="CCCCCC" w:sz="4"/>
              <w:left w:val="single" w:color="CCCCCC" w:sz="4"/>
              <w:bottom w:val="single" w:color="CCCCCC" w:sz="4"/>
              <w:right w:val="single" w:color="CCCCCC" w:sz="4"/>
            </w:tcBorders>
            <w:shd w:fill="D5E8F0" w:val="clear"/>
            <w:tcMar>
              <w:top w:type="dxa" w:w="100"/>
              <w:left w:type="dxa" w:w="140"/>
              <w:bottom w:type="dxa" w:w="100"/>
              <w:right w:type="dxa" w:w="140"/>
            </w:tcMar>
          </w:tcPr>
          <w:p>
            <w:r>
              <w:rPr>
                <w:b/>
                <w:bCs/>
              </w:rPr>
              <w:t xml:space="preserve">What the risk looks like</w:t>
            </w:r>
          </w:p>
        </w:tc>
        <w:tc>
          <w:tcPr>
            <w:tcW w:type="dxa" w:w="3680"/>
            <w:tcBorders>
              <w:top w:val="single" w:color="CCCCCC" w:sz="4"/>
              <w:left w:val="single" w:color="CCCCCC" w:sz="4"/>
              <w:bottom w:val="single" w:color="CCCCCC" w:sz="4"/>
              <w:right w:val="single" w:color="CCCCCC" w:sz="4"/>
            </w:tcBorders>
            <w:shd w:fill="D5E8F0" w:val="clear"/>
            <w:tcMar>
              <w:top w:type="dxa" w:w="100"/>
              <w:left w:type="dxa" w:w="140"/>
              <w:bottom w:type="dxa" w:w="100"/>
              <w:right w:type="dxa" w:w="140"/>
            </w:tcMar>
          </w:tcPr>
          <w:p>
            <w:r>
              <w:rPr>
                <w:b/>
                <w:bCs/>
              </w:rPr>
              <w:t xml:space="preserve">Katana’s control</w:t>
            </w:r>
          </w:p>
        </w:tc>
      </w:tr>
      <w:tr>
        <w:trPr>
          <w:tblHeader w:val="false"/>
        </w:trPr>
        <w:tc>
          <w:tcPr>
            <w:tcW w:type="dxa" w:w="2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Employees pasting sensitive data</w:t>
            </w:r>
          </w:p>
        </w:tc>
        <w:tc>
          <w:tcPr>
            <w:tcW w:type="dxa" w:w="368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Someone drops PHI, PII, or contract text into a public chatbot. Data leaves the tenant.</w:t>
            </w:r>
          </w:p>
        </w:tc>
        <w:tc>
          <w:tcPr>
            <w:tcW w:type="dxa" w:w="368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Written usage policy, DLP labels, browser controls, employee training, approved-tool list.</w:t>
            </w:r>
          </w:p>
        </w:tc>
      </w:tr>
      <w:tr>
        <w:trPr>
          <w:tblHeader w:val="false"/>
        </w:trPr>
        <w:tc>
          <w:tcPr>
            <w:tcW w:type="dxa" w:w="2000"/>
            <w:tcBorders>
              <w:top w:val="single" w:color="CCCCCC" w:sz="4"/>
              <w:left w:val="single" w:color="CCCCCC" w:sz="4"/>
              <w:bottom w:val="single" w:color="CCCCCC" w:sz="4"/>
              <w:right w:val="single" w:color="CCCCCC" w:sz="4"/>
            </w:tcBorders>
            <w:shd w:fill="F5F8FA" w:val="clear"/>
            <w:tcMar>
              <w:top w:type="dxa" w:w="100"/>
              <w:left w:type="dxa" w:w="140"/>
              <w:bottom w:type="dxa" w:w="100"/>
              <w:right w:type="dxa" w:w="140"/>
            </w:tcMar>
          </w:tcPr>
          <w:p>
            <w:r>
              <w:rPr>
                <w:b w:val="false"/>
                <w:bCs w:val="false"/>
              </w:rPr>
              <w:t xml:space="preserve">Shadow AI</w:t>
            </w:r>
          </w:p>
        </w:tc>
        <w:tc>
          <w:tcPr>
            <w:tcW w:type="dxa" w:w="3680"/>
            <w:tcBorders>
              <w:top w:val="single" w:color="CCCCCC" w:sz="4"/>
              <w:left w:val="single" w:color="CCCCCC" w:sz="4"/>
              <w:bottom w:val="single" w:color="CCCCCC" w:sz="4"/>
              <w:right w:val="single" w:color="CCCCCC" w:sz="4"/>
            </w:tcBorders>
            <w:shd w:fill="F5F8FA" w:val="clear"/>
            <w:tcMar>
              <w:top w:type="dxa" w:w="100"/>
              <w:left w:type="dxa" w:w="140"/>
              <w:bottom w:type="dxa" w:w="100"/>
              <w:right w:type="dxa" w:w="140"/>
            </w:tcMar>
          </w:tcPr>
          <w:p>
            <w:r>
              <w:rPr>
                <w:b w:val="false"/>
                <w:bCs w:val="false"/>
              </w:rPr>
              <w:t xml:space="preserve">Team members paying for tools IT doesn’t know about. No policy coverage, no audit trail.</w:t>
            </w:r>
          </w:p>
        </w:tc>
        <w:tc>
          <w:tcPr>
            <w:tcW w:type="dxa" w:w="3680"/>
            <w:tcBorders>
              <w:top w:val="single" w:color="CCCCCC" w:sz="4"/>
              <w:left w:val="single" w:color="CCCCCC" w:sz="4"/>
              <w:bottom w:val="single" w:color="CCCCCC" w:sz="4"/>
              <w:right w:val="single" w:color="CCCCCC" w:sz="4"/>
            </w:tcBorders>
            <w:shd w:fill="F5F8FA" w:val="clear"/>
            <w:tcMar>
              <w:top w:type="dxa" w:w="100"/>
              <w:left w:type="dxa" w:w="140"/>
              <w:bottom w:type="dxa" w:w="100"/>
              <w:right w:type="dxa" w:w="140"/>
            </w:tcMar>
          </w:tcPr>
          <w:p>
            <w:r>
              <w:rPr>
                <w:b w:val="false"/>
                <w:bCs w:val="false"/>
              </w:rPr>
              <w:t xml:space="preserve">Shadow-AI audit as part of Readiness Assessment. Approved-tool list + expense-policy hooks.</w:t>
            </w:r>
          </w:p>
        </w:tc>
      </w:tr>
      <w:tr>
        <w:trPr>
          <w:tblHeader w:val="false"/>
        </w:trPr>
        <w:tc>
          <w:tcPr>
            <w:tcW w:type="dxa" w:w="2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Prompt injection</w:t>
            </w:r>
          </w:p>
        </w:tc>
        <w:tc>
          <w:tcPr>
            <w:tcW w:type="dxa" w:w="368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Attacker embeds instructions in an email, document, or website that the AI then reads — tricks the AI into exfiltrating data or taking an action.</w:t>
            </w:r>
          </w:p>
        </w:tc>
        <w:tc>
          <w:tcPr>
            <w:tcW w:type="dxa" w:w="368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Architectural controls on agent workflows, sandboxed tool use, untrusted-content handling, ongoing monitoring.</w:t>
            </w:r>
          </w:p>
        </w:tc>
      </w:tr>
      <w:tr>
        <w:trPr>
          <w:tblHeader w:val="false"/>
        </w:trPr>
        <w:tc>
          <w:tcPr>
            <w:tcW w:type="dxa" w:w="2000"/>
            <w:tcBorders>
              <w:top w:val="single" w:color="CCCCCC" w:sz="4"/>
              <w:left w:val="single" w:color="CCCCCC" w:sz="4"/>
              <w:bottom w:val="single" w:color="CCCCCC" w:sz="4"/>
              <w:right w:val="single" w:color="CCCCCC" w:sz="4"/>
            </w:tcBorders>
            <w:shd w:fill="F5F8FA" w:val="clear"/>
            <w:tcMar>
              <w:top w:type="dxa" w:w="100"/>
              <w:left w:type="dxa" w:w="140"/>
              <w:bottom w:type="dxa" w:w="100"/>
              <w:right w:type="dxa" w:w="140"/>
            </w:tcMar>
          </w:tcPr>
          <w:p>
            <w:r>
              <w:rPr>
                <w:b w:val="false"/>
                <w:bCs w:val="false"/>
              </w:rPr>
              <w:t xml:space="preserve">Data leakage at the vendor</w:t>
            </w:r>
          </w:p>
        </w:tc>
        <w:tc>
          <w:tcPr>
            <w:tcW w:type="dxa" w:w="3680"/>
            <w:tcBorders>
              <w:top w:val="single" w:color="CCCCCC" w:sz="4"/>
              <w:left w:val="single" w:color="CCCCCC" w:sz="4"/>
              <w:bottom w:val="single" w:color="CCCCCC" w:sz="4"/>
              <w:right w:val="single" w:color="CCCCCC" w:sz="4"/>
            </w:tcBorders>
            <w:shd w:fill="F5F8FA" w:val="clear"/>
            <w:tcMar>
              <w:top w:type="dxa" w:w="100"/>
              <w:left w:type="dxa" w:w="140"/>
              <w:bottom w:type="dxa" w:w="100"/>
              <w:right w:type="dxa" w:w="140"/>
            </w:tcMar>
          </w:tcPr>
          <w:p>
            <w:r>
              <w:rPr>
                <w:b w:val="false"/>
                <w:bCs w:val="false"/>
              </w:rPr>
              <w:t xml:space="preserve">Provider breach, subpoena, misconfiguration.</w:t>
            </w:r>
          </w:p>
        </w:tc>
        <w:tc>
          <w:tcPr>
            <w:tcW w:type="dxa" w:w="3680"/>
            <w:tcBorders>
              <w:top w:val="single" w:color="CCCCCC" w:sz="4"/>
              <w:left w:val="single" w:color="CCCCCC" w:sz="4"/>
              <w:bottom w:val="single" w:color="CCCCCC" w:sz="4"/>
              <w:right w:val="single" w:color="CCCCCC" w:sz="4"/>
            </w:tcBorders>
            <w:shd w:fill="F5F8FA" w:val="clear"/>
            <w:tcMar>
              <w:top w:type="dxa" w:w="100"/>
              <w:left w:type="dxa" w:w="140"/>
              <w:bottom w:type="dxa" w:w="100"/>
              <w:right w:type="dxa" w:w="140"/>
            </w:tcMar>
          </w:tcPr>
          <w:p>
            <w:r>
              <w:rPr>
                <w:b w:val="false"/>
                <w:bCs w:val="false"/>
              </w:rPr>
              <w:t xml:space="preserve">Vendor selection with zero-retention, SOC 2 Type II, tenant isolation. Quarterly vendor-risk review.</w:t>
            </w:r>
          </w:p>
        </w:tc>
      </w:tr>
      <w:tr>
        <w:trPr>
          <w:tblHeader w:val="false"/>
        </w:trPr>
        <w:tc>
          <w:tcPr>
            <w:tcW w:type="dxa" w:w="2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Compliance exposure</w:t>
            </w:r>
          </w:p>
        </w:tc>
        <w:tc>
          <w:tcPr>
            <w:tcW w:type="dxa" w:w="368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AI used for workflows that touch PHI, PCI, GDPR/CCPA data — without the right controls.</w:t>
            </w:r>
          </w:p>
        </w:tc>
        <w:tc>
          <w:tcPr>
            <w:tcW w:type="dxa" w:w="368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Compliance mapping by vertical. BAA where needed. Data-classification rules. Audit trail retention.</w:t>
            </w:r>
          </w:p>
        </w:tc>
      </w:tr>
      <w:tr>
        <w:trPr>
          <w:tblHeader w:val="false"/>
        </w:trPr>
        <w:tc>
          <w:tcPr>
            <w:tcW w:type="dxa" w:w="2000"/>
            <w:tcBorders>
              <w:top w:val="single" w:color="CCCCCC" w:sz="4"/>
              <w:left w:val="single" w:color="CCCCCC" w:sz="4"/>
              <w:bottom w:val="single" w:color="CCCCCC" w:sz="4"/>
              <w:right w:val="single" w:color="CCCCCC" w:sz="4"/>
            </w:tcBorders>
            <w:shd w:fill="F5F8FA" w:val="clear"/>
            <w:tcMar>
              <w:top w:type="dxa" w:w="100"/>
              <w:left w:type="dxa" w:w="140"/>
              <w:bottom w:type="dxa" w:w="100"/>
              <w:right w:type="dxa" w:w="140"/>
            </w:tcMar>
          </w:tcPr>
          <w:p>
            <w:r>
              <w:rPr>
                <w:b w:val="false"/>
                <w:bCs w:val="false"/>
              </w:rPr>
              <w:t xml:space="preserve">IP and copyright</w:t>
            </w:r>
          </w:p>
        </w:tc>
        <w:tc>
          <w:tcPr>
            <w:tcW w:type="dxa" w:w="3680"/>
            <w:tcBorders>
              <w:top w:val="single" w:color="CCCCCC" w:sz="4"/>
              <w:left w:val="single" w:color="CCCCCC" w:sz="4"/>
              <w:bottom w:val="single" w:color="CCCCCC" w:sz="4"/>
              <w:right w:val="single" w:color="CCCCCC" w:sz="4"/>
            </w:tcBorders>
            <w:shd w:fill="F5F8FA" w:val="clear"/>
            <w:tcMar>
              <w:top w:type="dxa" w:w="100"/>
              <w:left w:type="dxa" w:w="140"/>
              <w:bottom w:type="dxa" w:w="100"/>
              <w:right w:type="dxa" w:w="140"/>
            </w:tcMar>
          </w:tcPr>
          <w:p>
            <w:r>
              <w:rPr>
                <w:b w:val="false"/>
                <w:bCs w:val="false"/>
              </w:rPr>
              <w:t xml:space="preserve">Employee uses AI to draft something that incorporates copyrighted material. Or client IP is used to train the vendor’s model.</w:t>
            </w:r>
          </w:p>
        </w:tc>
        <w:tc>
          <w:tcPr>
            <w:tcW w:type="dxa" w:w="3680"/>
            <w:tcBorders>
              <w:top w:val="single" w:color="CCCCCC" w:sz="4"/>
              <w:left w:val="single" w:color="CCCCCC" w:sz="4"/>
              <w:bottom w:val="single" w:color="CCCCCC" w:sz="4"/>
              <w:right w:val="single" w:color="CCCCCC" w:sz="4"/>
            </w:tcBorders>
            <w:shd w:fill="F5F8FA" w:val="clear"/>
            <w:tcMar>
              <w:top w:type="dxa" w:w="100"/>
              <w:left w:type="dxa" w:w="140"/>
              <w:bottom w:type="dxa" w:w="100"/>
              <w:right w:type="dxa" w:w="140"/>
            </w:tcMar>
          </w:tcPr>
          <w:p>
            <w:r>
              <w:rPr>
                <w:b w:val="false"/>
                <w:bCs w:val="false"/>
              </w:rPr>
              <w:t xml:space="preserve">Contractual review with vendors (no-training clauses). Client guidance on IP. Documentation of sources.</w:t>
            </w:r>
          </w:p>
        </w:tc>
      </w:tr>
      <w:tr>
        <w:trPr>
          <w:tblHeader w:val="false"/>
        </w:trPr>
        <w:tc>
          <w:tcPr>
            <w:tcW w:type="dxa" w:w="2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Vendor lock-in</w:t>
            </w:r>
          </w:p>
        </w:tc>
        <w:tc>
          <w:tcPr>
            <w:tcW w:type="dxa" w:w="368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Client standardizes on one tool, then pricing changes or strategic risk appears.</w:t>
            </w:r>
          </w:p>
        </w:tc>
        <w:tc>
          <w:tcPr>
            <w:tcW w:type="dxa" w:w="368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Vendor-neutral posture. MCP-based integrations. Avoid proprietary fine-tunes unless justified.</w:t>
            </w:r>
          </w:p>
        </w:tc>
      </w:tr>
      <w:tr>
        <w:trPr>
          <w:tblHeader w:val="false"/>
        </w:trPr>
        <w:tc>
          <w:tcPr>
            <w:tcW w:type="dxa" w:w="2000"/>
            <w:tcBorders>
              <w:top w:val="single" w:color="CCCCCC" w:sz="4"/>
              <w:left w:val="single" w:color="CCCCCC" w:sz="4"/>
              <w:bottom w:val="single" w:color="CCCCCC" w:sz="4"/>
              <w:right w:val="single" w:color="CCCCCC" w:sz="4"/>
            </w:tcBorders>
            <w:shd w:fill="F5F8FA" w:val="clear"/>
            <w:tcMar>
              <w:top w:type="dxa" w:w="100"/>
              <w:left w:type="dxa" w:w="140"/>
              <w:bottom w:type="dxa" w:w="100"/>
              <w:right w:type="dxa" w:w="140"/>
            </w:tcMar>
          </w:tcPr>
          <w:p>
            <w:r>
              <w:rPr>
                <w:b w:val="false"/>
                <w:bCs w:val="false"/>
              </w:rPr>
              <w:t xml:space="preserve">Incorrect output going out</w:t>
            </w:r>
          </w:p>
        </w:tc>
        <w:tc>
          <w:tcPr>
            <w:tcW w:type="dxa" w:w="3680"/>
            <w:tcBorders>
              <w:top w:val="single" w:color="CCCCCC" w:sz="4"/>
              <w:left w:val="single" w:color="CCCCCC" w:sz="4"/>
              <w:bottom w:val="single" w:color="CCCCCC" w:sz="4"/>
              <w:right w:val="single" w:color="CCCCCC" w:sz="4"/>
            </w:tcBorders>
            <w:shd w:fill="F5F8FA" w:val="clear"/>
            <w:tcMar>
              <w:top w:type="dxa" w:w="100"/>
              <w:left w:type="dxa" w:w="140"/>
              <w:bottom w:type="dxa" w:w="100"/>
              <w:right w:type="dxa" w:w="140"/>
            </w:tcMar>
          </w:tcPr>
          <w:p>
            <w:r>
              <w:rPr>
                <w:b w:val="false"/>
                <w:bCs w:val="false"/>
              </w:rPr>
              <w:t xml:space="preserve">Hallucination or subtle error in a document sent to a customer, regulator, or board.</w:t>
            </w:r>
          </w:p>
        </w:tc>
        <w:tc>
          <w:tcPr>
            <w:tcW w:type="dxa" w:w="3680"/>
            <w:tcBorders>
              <w:top w:val="single" w:color="CCCCCC" w:sz="4"/>
              <w:left w:val="single" w:color="CCCCCC" w:sz="4"/>
              <w:bottom w:val="single" w:color="CCCCCC" w:sz="4"/>
              <w:right w:val="single" w:color="CCCCCC" w:sz="4"/>
            </w:tcBorders>
            <w:shd w:fill="F5F8FA" w:val="clear"/>
            <w:tcMar>
              <w:top w:type="dxa" w:w="100"/>
              <w:left w:type="dxa" w:w="140"/>
              <w:bottom w:type="dxa" w:w="100"/>
              <w:right w:type="dxa" w:w="140"/>
            </w:tcMar>
          </w:tcPr>
          <w:p>
            <w:r>
              <w:rPr>
                <w:b w:val="false"/>
                <w:bCs w:val="false"/>
              </w:rPr>
              <w:t xml:space="preserve">Human-in-the-loop thresholds. QA checklists per workflow. Review cadences. Never ship unreviewed for sensitive domains.</w:t>
            </w:r>
          </w:p>
        </w:tc>
      </w:tr>
      <w:tr>
        <w:trPr>
          <w:tblHeader w:val="false"/>
        </w:trPr>
        <w:tc>
          <w:tcPr>
            <w:tcW w:type="dxa" w:w="2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Incident response</w:t>
            </w:r>
          </w:p>
        </w:tc>
        <w:tc>
          <w:tcPr>
            <w:tcW w:type="dxa" w:w="368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Something goes wrong — data leak, wrong output, policy violation. Nobody knows what to do.</w:t>
            </w:r>
          </w:p>
        </w:tc>
        <w:tc>
          <w:tcPr>
            <w:tcW w:type="dxa" w:w="368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Incident runbook as a deliverable. Katana on-call integration. Post-incident review cadence.</w:t>
            </w:r>
          </w:p>
        </w:tc>
      </w:tr>
    </w:tbl>
    <w:p>
      <w:pPr>
        <w:shd w:fill="E8F4F8" w:val="clear"/>
        <w:spacing w:after="160" w:before="160"/>
        <w:ind w:left="240" w:right="240"/>
      </w:pPr>
      <w:r>
        <w:rPr>
          <w:b/>
          <w:bCs/>
          <w:color w:val="1F4E79"/>
        </w:rPr>
        <w:t xml:space="preserve">The one-sentence security posture for Katana: </w:t>
      </w:r>
      <w:r>
        <w:t xml:space="preserve">Every client gets an AI Usage Policy, DLP coverage, audit logging, a vendor-risk review cadence, and a human-in-the-loop rule for anything sensitive. That is the baseline. Vertical or regulatory-specific controls get layered on top.</w:t>
      </w:r>
    </w:p>
    <w:p>
      <w:pPr>
        <w:pStyle w:val="Heading1"/>
      </w:pPr>
      <w:r>
        <w:t xml:space="preserve">11. The 4D Framework — the Spine of Every Client Conversation</w:t>
      </w:r>
    </w:p>
    <w:p>
      <w:pPr>
        <w:spacing w:after="80" w:before="80"/>
      </w:pPr>
      <w:r>
        <w:t xml:space="preserve">Anthropic’s AI Fluency 4D framework, authored by Rick Dakan and Joseph Feller, names four interconnected competencies for using AI well. The framework does two jobs for Katana. First, it structures every client conversation — the question the client is really asking always maps to one of the four Ds. Second, it structures Katana’s deliverables — every offering in Section 4 is built around making one or more Ds real for the client.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680"/>
        <w:gridCol w:w="4180"/>
      </w:tblGrid>
      <w:tr>
        <w:trPr>
          <w:tblHeader/>
        </w:trPr>
        <w:tc>
          <w:tcPr>
            <w:tcW w:type="dxa" w:w="1500"/>
            <w:tcBorders>
              <w:top w:val="single" w:color="CCCCCC" w:sz="4"/>
              <w:left w:val="single" w:color="CCCCCC" w:sz="4"/>
              <w:bottom w:val="single" w:color="CCCCCC" w:sz="4"/>
              <w:right w:val="single" w:color="CCCCCC" w:sz="4"/>
            </w:tcBorders>
            <w:shd w:fill="D5E8F0" w:val="clear"/>
            <w:tcMar>
              <w:top w:type="dxa" w:w="100"/>
              <w:left w:type="dxa" w:w="140"/>
              <w:bottom w:type="dxa" w:w="100"/>
              <w:right w:type="dxa" w:w="140"/>
            </w:tcMar>
          </w:tcPr>
          <w:p>
            <w:r>
              <w:rPr>
                <w:b/>
                <w:bCs/>
              </w:rPr>
              <w:t xml:space="preserve">The D</w:t>
            </w:r>
          </w:p>
        </w:tc>
        <w:tc>
          <w:tcPr>
            <w:tcW w:type="dxa" w:w="3680"/>
            <w:tcBorders>
              <w:top w:val="single" w:color="CCCCCC" w:sz="4"/>
              <w:left w:val="single" w:color="CCCCCC" w:sz="4"/>
              <w:bottom w:val="single" w:color="CCCCCC" w:sz="4"/>
              <w:right w:val="single" w:color="CCCCCC" w:sz="4"/>
            </w:tcBorders>
            <w:shd w:fill="D5E8F0" w:val="clear"/>
            <w:tcMar>
              <w:top w:type="dxa" w:w="100"/>
              <w:left w:type="dxa" w:w="140"/>
              <w:bottom w:type="dxa" w:w="100"/>
              <w:right w:type="dxa" w:w="140"/>
            </w:tcMar>
          </w:tcPr>
          <w:p>
            <w:r>
              <w:rPr>
                <w:b/>
                <w:bCs/>
              </w:rPr>
              <w:t xml:space="preserve">The client’s underlying question</w:t>
            </w:r>
          </w:p>
        </w:tc>
        <w:tc>
          <w:tcPr>
            <w:tcW w:type="dxa" w:w="4180"/>
            <w:tcBorders>
              <w:top w:val="single" w:color="CCCCCC" w:sz="4"/>
              <w:left w:val="single" w:color="CCCCCC" w:sz="4"/>
              <w:bottom w:val="single" w:color="CCCCCC" w:sz="4"/>
              <w:right w:val="single" w:color="CCCCCC" w:sz="4"/>
            </w:tcBorders>
            <w:shd w:fill="D5E8F0" w:val="clear"/>
            <w:tcMar>
              <w:top w:type="dxa" w:w="100"/>
              <w:left w:type="dxa" w:w="140"/>
              <w:bottom w:type="dxa" w:w="100"/>
              <w:right w:type="dxa" w:w="140"/>
            </w:tcMar>
          </w:tcPr>
          <w:p>
            <w:r>
              <w:rPr>
                <w:b/>
                <w:bCs/>
              </w:rPr>
              <w:t xml:space="preserve">Katana’s answer, made real</w:t>
            </w:r>
          </w:p>
        </w:tc>
      </w:tr>
      <w:tr>
        <w:trPr>
          <w:tblHeader w:val="false"/>
        </w:trPr>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Delegation</w:t>
            </w:r>
          </w:p>
        </w:tc>
        <w:tc>
          <w:tcPr>
            <w:tcW w:type="dxa" w:w="368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"Where should we use AI? What should we keep human?"</w:t>
            </w:r>
          </w:p>
        </w:tc>
        <w:tc>
          <w:tcPr>
            <w:tcW w:type="dxa" w:w="418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Readiness Assessment — role-by-role map of what to delegate, what to keep human, and what to pilot first.</w:t>
            </w:r>
          </w:p>
        </w:tc>
      </w:tr>
      <w:tr>
        <w:trPr>
          <w:tblHeader w:val="false"/>
        </w:trPr>
        <w:tc>
          <w:tcPr>
            <w:tcW w:type="dxa" w:w="1500"/>
            <w:tcBorders>
              <w:top w:val="single" w:color="CCCCCC" w:sz="4"/>
              <w:left w:val="single" w:color="CCCCCC" w:sz="4"/>
              <w:bottom w:val="single" w:color="CCCCCC" w:sz="4"/>
              <w:right w:val="single" w:color="CCCCCC" w:sz="4"/>
            </w:tcBorders>
            <w:shd w:fill="F5F8FA" w:val="clear"/>
            <w:tcMar>
              <w:top w:type="dxa" w:w="100"/>
              <w:left w:type="dxa" w:w="140"/>
              <w:bottom w:type="dxa" w:w="100"/>
              <w:right w:type="dxa" w:w="140"/>
            </w:tcMar>
          </w:tcPr>
          <w:p>
            <w:r>
              <w:rPr>
                <w:b w:val="false"/>
                <w:bCs w:val="false"/>
              </w:rPr>
              <w:t xml:space="preserve">Description</w:t>
            </w:r>
          </w:p>
        </w:tc>
        <w:tc>
          <w:tcPr>
            <w:tcW w:type="dxa" w:w="3680"/>
            <w:tcBorders>
              <w:top w:val="single" w:color="CCCCCC" w:sz="4"/>
              <w:left w:val="single" w:color="CCCCCC" w:sz="4"/>
              <w:bottom w:val="single" w:color="CCCCCC" w:sz="4"/>
              <w:right w:val="single" w:color="CCCCCC" w:sz="4"/>
            </w:tcBorders>
            <w:shd w:fill="F5F8FA" w:val="clear"/>
            <w:tcMar>
              <w:top w:type="dxa" w:w="100"/>
              <w:left w:type="dxa" w:w="140"/>
              <w:bottom w:type="dxa" w:w="100"/>
              <w:right w:type="dxa" w:w="140"/>
            </w:tcMar>
          </w:tcPr>
          <w:p>
            <w:r>
              <w:rPr>
                <w:b w:val="false"/>
                <w:bCs w:val="false"/>
              </w:rPr>
              <w:t xml:space="preserve">"How do we get good, consistent results from AI? Our team doesn’t know how to use it well."</w:t>
            </w:r>
          </w:p>
        </w:tc>
        <w:tc>
          <w:tcPr>
            <w:tcW w:type="dxa" w:w="4180"/>
            <w:tcBorders>
              <w:top w:val="single" w:color="CCCCCC" w:sz="4"/>
              <w:left w:val="single" w:color="CCCCCC" w:sz="4"/>
              <w:bottom w:val="single" w:color="CCCCCC" w:sz="4"/>
              <w:right w:val="single" w:color="CCCCCC" w:sz="4"/>
            </w:tcBorders>
            <w:shd w:fill="F5F8FA" w:val="clear"/>
            <w:tcMar>
              <w:top w:type="dxa" w:w="100"/>
              <w:left w:type="dxa" w:w="140"/>
              <w:bottom w:type="dxa" w:w="100"/>
              <w:right w:type="dxa" w:w="140"/>
            </w:tcMar>
          </w:tcPr>
          <w:p>
            <w:r>
              <w:rPr>
                <w:b w:val="false"/>
                <w:bCs w:val="false"/>
              </w:rPr>
              <w:t xml:space="preserve">Role-specific prompt libraries, training workshops, new-hire-ready guides, ongoing Enablement retainer.</w:t>
            </w:r>
          </w:p>
        </w:tc>
      </w:tr>
      <w:tr>
        <w:trPr>
          <w:tblHeader w:val="false"/>
        </w:trPr>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Discernment</w:t>
            </w:r>
          </w:p>
        </w:tc>
        <w:tc>
          <w:tcPr>
            <w:tcW w:type="dxa" w:w="368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"How do we know the AI got it right? Who catches it when it’s wrong?"</w:t>
            </w:r>
          </w:p>
        </w:tc>
        <w:tc>
          <w:tcPr>
            <w:tcW w:type="dxa" w:w="418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Human-in-the-loop thresholds, QA checklists, review cadences, comparison workflows, escalation rules.</w:t>
            </w:r>
          </w:p>
        </w:tc>
      </w:tr>
      <w:tr>
        <w:trPr>
          <w:tblHeader w:val="false"/>
        </w:trPr>
        <w:tc>
          <w:tcPr>
            <w:tcW w:type="dxa" w:w="1500"/>
            <w:tcBorders>
              <w:top w:val="single" w:color="CCCCCC" w:sz="4"/>
              <w:left w:val="single" w:color="CCCCCC" w:sz="4"/>
              <w:bottom w:val="single" w:color="CCCCCC" w:sz="4"/>
              <w:right w:val="single" w:color="CCCCCC" w:sz="4"/>
            </w:tcBorders>
            <w:shd w:fill="F5F8FA" w:val="clear"/>
            <w:tcMar>
              <w:top w:type="dxa" w:w="100"/>
              <w:left w:type="dxa" w:w="140"/>
              <w:bottom w:type="dxa" w:w="100"/>
              <w:right w:type="dxa" w:w="140"/>
            </w:tcMar>
          </w:tcPr>
          <w:p>
            <w:r>
              <w:rPr>
                <w:b w:val="false"/>
                <w:bCs w:val="false"/>
              </w:rPr>
              <w:t xml:space="preserve">Diligence</w:t>
            </w:r>
          </w:p>
        </w:tc>
        <w:tc>
          <w:tcPr>
            <w:tcW w:type="dxa" w:w="3680"/>
            <w:tcBorders>
              <w:top w:val="single" w:color="CCCCCC" w:sz="4"/>
              <w:left w:val="single" w:color="CCCCCC" w:sz="4"/>
              <w:bottom w:val="single" w:color="CCCCCC" w:sz="4"/>
              <w:right w:val="single" w:color="CCCCCC" w:sz="4"/>
            </w:tcBorders>
            <w:shd w:fill="F5F8FA" w:val="clear"/>
            <w:tcMar>
              <w:top w:type="dxa" w:w="100"/>
              <w:left w:type="dxa" w:w="140"/>
              <w:bottom w:type="dxa" w:w="100"/>
              <w:right w:type="dxa" w:w="140"/>
            </w:tcMar>
          </w:tcPr>
          <w:p>
            <w:r>
              <w:rPr>
                <w:b w:val="false"/>
                <w:bCs w:val="false"/>
              </w:rPr>
              <w:t xml:space="preserve">"What are the rules? What are the risks? Who’s accountable?"</w:t>
            </w:r>
          </w:p>
        </w:tc>
        <w:tc>
          <w:tcPr>
            <w:tcW w:type="dxa" w:w="4180"/>
            <w:tcBorders>
              <w:top w:val="single" w:color="CCCCCC" w:sz="4"/>
              <w:left w:val="single" w:color="CCCCCC" w:sz="4"/>
              <w:bottom w:val="single" w:color="CCCCCC" w:sz="4"/>
              <w:right w:val="single" w:color="CCCCCC" w:sz="4"/>
            </w:tcBorders>
            <w:shd w:fill="F5F8FA" w:val="clear"/>
            <w:tcMar>
              <w:top w:type="dxa" w:w="100"/>
              <w:left w:type="dxa" w:w="140"/>
              <w:bottom w:type="dxa" w:w="100"/>
              <w:right w:type="dxa" w:w="140"/>
            </w:tcMar>
          </w:tcPr>
          <w:p>
            <w:r>
              <w:rPr>
                <w:b w:val="false"/>
                <w:bCs w:val="false"/>
              </w:rPr>
              <w:t xml:space="preserve">Written usage policy, DLP, audit trail, vendor review, compliance mapping, incident response, quarterly governance.</w:t>
            </w:r>
          </w:p>
        </w:tc>
      </w:tr>
    </w:tbl>
    <w:p>
      <w:pPr>
        <w:pStyle w:val="Heading2"/>
      </w:pPr>
      <w:r>
        <w:t xml:space="preserve">11.1 How to use it in a first call</w:t>
      </w:r>
    </w:p>
    <w:p>
      <w:pPr>
        <w:spacing w:after="80" w:before="80"/>
      </w:pPr>
      <w:r>
        <w:t xml:space="preserve">On an AI discovery call, ask one diagnostic question per D and listen for the answer. The quality of the answer tells Drew which offering to lead with.</w:t>
      </w:r>
    </w:p>
    <w:p>
      <w:pPr>
        <w:pStyle w:val="ListParagraph"/>
        <w:numPr>
          <w:ilvl w:val="0"/>
          <w:numId w:val="2"/>
        </w:numPr>
        <w:spacing w:after="40" w:before="40"/>
      </w:pPr>
      <w:r>
        <w:t xml:space="preserve">Delegation: "Walk me through a typical week for your highest-paid people — what would you love to take off their plate?" Weak answer → start with Readiness Assessment.</w:t>
      </w:r>
    </w:p>
    <w:p>
      <w:pPr>
        <w:pStyle w:val="ListParagraph"/>
        <w:numPr>
          <w:ilvl w:val="0"/>
          <w:numId w:val="2"/>
        </w:numPr>
        <w:spacing w:after="40" w:before="40"/>
      </w:pPr>
      <w:r>
        <w:t xml:space="preserve">Description: "If I sat with your team for an hour, would I see ten different ways of asking AI the same thing?" Yes → Enablement retainer is the fit.</w:t>
      </w:r>
    </w:p>
    <w:p>
      <w:pPr>
        <w:pStyle w:val="ListParagraph"/>
        <w:numPr>
          <w:ilvl w:val="0"/>
          <w:numId w:val="2"/>
        </w:numPr>
        <w:spacing w:after="40" w:before="40"/>
      </w:pPr>
      <w:r>
        <w:t xml:space="preserve">Discernment: "Has your team ever sent something out that turned out to be wrong because the AI said so?" Yes → Discernment program and QA setup come first.</w:t>
      </w:r>
    </w:p>
    <w:p>
      <w:pPr>
        <w:pStyle w:val="ListParagraph"/>
        <w:numPr>
          <w:ilvl w:val="0"/>
          <w:numId w:val="2"/>
        </w:numPr>
        <w:spacing w:after="40" w:before="40"/>
      </w:pPr>
      <w:r>
        <w:t xml:space="preserve">Diligence: "If an employee pasted a client contract into ChatGPT tomorrow, what would happen — and who would know?" No answer → Governance program is urgent.</w:t>
      </w:r>
    </w:p>
    <w:p>
      <w:pPr>
        <w:pStyle w:val="Heading1"/>
      </w:pPr>
      <w:r>
        <w:t xml:space="preserve">12. Setting Up a Client — Intake to Live</w:t>
      </w:r>
    </w:p>
    <w:p>
      <w:pPr>
        <w:spacing w:after="80" w:before="80"/>
      </w:pPr>
      <w:r>
        <w:t xml:space="preserve">The repeatable flow Katana runs for every new AI engagement. Each phase has a fixed shape so the delivery team knows exactly what to do and the client knows exactly what to expect.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400"/>
        <w:gridCol w:w="2760"/>
        <w:gridCol w:w="2200"/>
        <w:gridCol w:w="1500"/>
      </w:tblGrid>
      <w:tr>
        <w:trPr>
          <w:tblHeader/>
        </w:trPr>
        <w:tc>
          <w:tcPr>
            <w:tcW w:type="dxa" w:w="1500"/>
            <w:tcBorders>
              <w:top w:val="single" w:color="CCCCCC" w:sz="4"/>
              <w:left w:val="single" w:color="CCCCCC" w:sz="4"/>
              <w:bottom w:val="single" w:color="CCCCCC" w:sz="4"/>
              <w:right w:val="single" w:color="CCCCCC" w:sz="4"/>
            </w:tcBorders>
            <w:shd w:fill="D5E8F0" w:val="clear"/>
            <w:tcMar>
              <w:top w:type="dxa" w:w="100"/>
              <w:left w:type="dxa" w:w="140"/>
              <w:bottom w:type="dxa" w:w="100"/>
              <w:right w:type="dxa" w:w="140"/>
            </w:tcMar>
          </w:tcPr>
          <w:p>
            <w:r>
              <w:rPr>
                <w:b/>
                <w:bCs/>
              </w:rPr>
              <w:t xml:space="preserve">Phase</w:t>
            </w:r>
          </w:p>
        </w:tc>
        <w:tc>
          <w:tcPr>
            <w:tcW w:type="dxa" w:w="1400"/>
            <w:tcBorders>
              <w:top w:val="single" w:color="CCCCCC" w:sz="4"/>
              <w:left w:val="single" w:color="CCCCCC" w:sz="4"/>
              <w:bottom w:val="single" w:color="CCCCCC" w:sz="4"/>
              <w:right w:val="single" w:color="CCCCCC" w:sz="4"/>
            </w:tcBorders>
            <w:shd w:fill="D5E8F0" w:val="clear"/>
            <w:tcMar>
              <w:top w:type="dxa" w:w="100"/>
              <w:left w:type="dxa" w:w="140"/>
              <w:bottom w:type="dxa" w:w="100"/>
              <w:right w:type="dxa" w:w="140"/>
            </w:tcMar>
          </w:tcPr>
          <w:p>
            <w:r>
              <w:rPr>
                <w:b/>
                <w:bCs/>
              </w:rPr>
              <w:t xml:space="preserve">Duration</w:t>
            </w:r>
          </w:p>
        </w:tc>
        <w:tc>
          <w:tcPr>
            <w:tcW w:type="dxa" w:w="2760"/>
            <w:tcBorders>
              <w:top w:val="single" w:color="CCCCCC" w:sz="4"/>
              <w:left w:val="single" w:color="CCCCCC" w:sz="4"/>
              <w:bottom w:val="single" w:color="CCCCCC" w:sz="4"/>
              <w:right w:val="single" w:color="CCCCCC" w:sz="4"/>
            </w:tcBorders>
            <w:shd w:fill="D5E8F0" w:val="clear"/>
            <w:tcMar>
              <w:top w:type="dxa" w:w="100"/>
              <w:left w:type="dxa" w:w="140"/>
              <w:bottom w:type="dxa" w:w="100"/>
              <w:right w:type="dxa" w:w="140"/>
            </w:tcMar>
          </w:tcPr>
          <w:p>
            <w:r>
              <w:rPr>
                <w:b/>
                <w:bCs/>
              </w:rPr>
              <w:t xml:space="preserve">What Katana does</w:t>
            </w:r>
          </w:p>
        </w:tc>
        <w:tc>
          <w:tcPr>
            <w:tcW w:type="dxa" w:w="2200"/>
            <w:tcBorders>
              <w:top w:val="single" w:color="CCCCCC" w:sz="4"/>
              <w:left w:val="single" w:color="CCCCCC" w:sz="4"/>
              <w:bottom w:val="single" w:color="CCCCCC" w:sz="4"/>
              <w:right w:val="single" w:color="CCCCCC" w:sz="4"/>
            </w:tcBorders>
            <w:shd w:fill="D5E8F0" w:val="clear"/>
            <w:tcMar>
              <w:top w:type="dxa" w:w="100"/>
              <w:left w:type="dxa" w:w="140"/>
              <w:bottom w:type="dxa" w:w="100"/>
              <w:right w:type="dxa" w:w="140"/>
            </w:tcMar>
          </w:tcPr>
          <w:p>
            <w:r>
              <w:rPr>
                <w:b/>
                <w:bCs/>
              </w:rPr>
              <w:t xml:space="preserve">What the client does</w:t>
            </w:r>
          </w:p>
        </w:tc>
        <w:tc>
          <w:tcPr>
            <w:tcW w:type="dxa" w:w="1500"/>
            <w:tcBorders>
              <w:top w:val="single" w:color="CCCCCC" w:sz="4"/>
              <w:left w:val="single" w:color="CCCCCC" w:sz="4"/>
              <w:bottom w:val="single" w:color="CCCCCC" w:sz="4"/>
              <w:right w:val="single" w:color="CCCCCC" w:sz="4"/>
            </w:tcBorders>
            <w:shd w:fill="D5E8F0" w:val="clear"/>
            <w:tcMar>
              <w:top w:type="dxa" w:w="100"/>
              <w:left w:type="dxa" w:w="140"/>
              <w:bottom w:type="dxa" w:w="100"/>
              <w:right w:type="dxa" w:w="140"/>
            </w:tcMar>
          </w:tcPr>
          <w:p>
            <w:r>
              <w:rPr>
                <w:b/>
                <w:bCs/>
              </w:rPr>
              <w:t xml:space="preserve">Output</w:t>
            </w:r>
          </w:p>
        </w:tc>
      </w:tr>
      <w:tr>
        <w:trPr>
          <w:tblHeader w:val="false"/>
        </w:trPr>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Intake</w:t>
            </w:r>
          </w:p>
        </w:tc>
        <w:tc>
          <w:tcPr>
            <w:tcW w:type="dxa" w:w="1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1 call (60–90 min)</w:t>
            </w:r>
          </w:p>
        </w:tc>
        <w:tc>
          <w:tcPr>
            <w:tcW w:type="dxa" w:w="27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Run the 4D discovery script. Identify posture (curious/anxious/ambitious). Scope the Readiness Assessment.</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Bring the right stakeholders (owner, IT lead, one ops lead). Answer posture questions honestly.</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Scoped Readiness Assessment SOW.</w:t>
            </w:r>
          </w:p>
        </w:tc>
      </w:tr>
      <w:tr>
        <w:trPr>
          <w:tblHeader w:val="false"/>
        </w:trPr>
        <w:tc>
          <w:tcPr>
            <w:tcW w:type="dxa" w:w="1500"/>
            <w:tcBorders>
              <w:top w:val="single" w:color="CCCCCC" w:sz="4"/>
              <w:left w:val="single" w:color="CCCCCC" w:sz="4"/>
              <w:bottom w:val="single" w:color="CCCCCC" w:sz="4"/>
              <w:right w:val="single" w:color="CCCCCC" w:sz="4"/>
            </w:tcBorders>
            <w:shd w:fill="F5F8FA" w:val="clear"/>
            <w:tcMar>
              <w:top w:type="dxa" w:w="100"/>
              <w:left w:type="dxa" w:w="140"/>
              <w:bottom w:type="dxa" w:w="100"/>
              <w:right w:type="dxa" w:w="140"/>
            </w:tcMar>
          </w:tcPr>
          <w:p>
            <w:r>
              <w:rPr>
                <w:b w:val="false"/>
                <w:bCs w:val="false"/>
              </w:rPr>
              <w:t xml:space="preserve">Readiness Assessment</w:t>
            </w:r>
          </w:p>
        </w:tc>
        <w:tc>
          <w:tcPr>
            <w:tcW w:type="dxa" w:w="1400"/>
            <w:tcBorders>
              <w:top w:val="single" w:color="CCCCCC" w:sz="4"/>
              <w:left w:val="single" w:color="CCCCCC" w:sz="4"/>
              <w:bottom w:val="single" w:color="CCCCCC" w:sz="4"/>
              <w:right w:val="single" w:color="CCCCCC" w:sz="4"/>
            </w:tcBorders>
            <w:shd w:fill="F5F8FA" w:val="clear"/>
            <w:tcMar>
              <w:top w:type="dxa" w:w="100"/>
              <w:left w:type="dxa" w:w="140"/>
              <w:bottom w:type="dxa" w:w="100"/>
              <w:right w:type="dxa" w:w="140"/>
            </w:tcMar>
          </w:tcPr>
          <w:p>
            <w:r>
              <w:rPr>
                <w:b w:val="false"/>
                <w:bCs w:val="false"/>
              </w:rPr>
              <w:t xml:space="preserve">2 weeks</w:t>
            </w:r>
          </w:p>
        </w:tc>
        <w:tc>
          <w:tcPr>
            <w:tcW w:type="dxa" w:w="2760"/>
            <w:tcBorders>
              <w:top w:val="single" w:color="CCCCCC" w:sz="4"/>
              <w:left w:val="single" w:color="CCCCCC" w:sz="4"/>
              <w:bottom w:val="single" w:color="CCCCCC" w:sz="4"/>
              <w:right w:val="single" w:color="CCCCCC" w:sz="4"/>
            </w:tcBorders>
            <w:shd w:fill="F5F8FA" w:val="clear"/>
            <w:tcMar>
              <w:top w:type="dxa" w:w="100"/>
              <w:left w:type="dxa" w:w="140"/>
              <w:bottom w:type="dxa" w:w="100"/>
              <w:right w:type="dxa" w:w="140"/>
            </w:tcMar>
          </w:tcPr>
          <w:p>
            <w:r>
              <w:rPr>
                <w:b w:val="false"/>
                <w:bCs w:val="false"/>
              </w:rPr>
              <w:t xml:space="preserve">Interview 5–10 roles. Inventory current tools and shadow AI. Score the 4D. Build the 90-day roadmap.</w:t>
            </w:r>
          </w:p>
        </w:tc>
        <w:tc>
          <w:tcPr>
            <w:tcW w:type="dxa" w:w="2200"/>
            <w:tcBorders>
              <w:top w:val="single" w:color="CCCCCC" w:sz="4"/>
              <w:left w:val="single" w:color="CCCCCC" w:sz="4"/>
              <w:bottom w:val="single" w:color="CCCCCC" w:sz="4"/>
              <w:right w:val="single" w:color="CCCCCC" w:sz="4"/>
            </w:tcBorders>
            <w:shd w:fill="F5F8FA" w:val="clear"/>
            <w:tcMar>
              <w:top w:type="dxa" w:w="100"/>
              <w:left w:type="dxa" w:w="140"/>
              <w:bottom w:type="dxa" w:w="100"/>
              <w:right w:type="dxa" w:w="140"/>
            </w:tcMar>
          </w:tcPr>
          <w:p>
            <w:r>
              <w:rPr>
                <w:b w:val="false"/>
                <w:bCs w:val="false"/>
              </w:rPr>
              <w:t xml:space="preserve">Make people available for interviews. Provide tool and license inventory. Review draft report.</w:t>
            </w:r>
          </w:p>
        </w:tc>
        <w:tc>
          <w:tcPr>
            <w:tcW w:type="dxa" w:w="1500"/>
            <w:tcBorders>
              <w:top w:val="single" w:color="CCCCCC" w:sz="4"/>
              <w:left w:val="single" w:color="CCCCCC" w:sz="4"/>
              <w:bottom w:val="single" w:color="CCCCCC" w:sz="4"/>
              <w:right w:val="single" w:color="CCCCCC" w:sz="4"/>
            </w:tcBorders>
            <w:shd w:fill="F5F8FA" w:val="clear"/>
            <w:tcMar>
              <w:top w:type="dxa" w:w="100"/>
              <w:left w:type="dxa" w:w="140"/>
              <w:bottom w:type="dxa" w:w="100"/>
              <w:right w:type="dxa" w:w="140"/>
            </w:tcMar>
          </w:tcPr>
          <w:p>
            <w:r>
              <w:rPr>
                <w:b w:val="false"/>
                <w:bCs w:val="false"/>
              </w:rPr>
              <w:t xml:space="preserve">4D-scored report, prioritized roadmap, priced options.</w:t>
            </w:r>
          </w:p>
        </w:tc>
      </w:tr>
      <w:tr>
        <w:trPr>
          <w:tblHeader w:val="false"/>
        </w:trPr>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Provider + plan selection</w:t>
            </w:r>
          </w:p>
        </w:tc>
        <w:tc>
          <w:tcPr>
            <w:tcW w:type="dxa" w:w="1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3–5 days</w:t>
            </w:r>
          </w:p>
        </w:tc>
        <w:tc>
          <w:tcPr>
            <w:tcW w:type="dxa" w:w="27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Match the client’s posture and existing stack to the right provider(s) and plan tier.</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Approve licensing spend.</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Signed-off provider decision and license order.</w:t>
            </w:r>
          </w:p>
        </w:tc>
      </w:tr>
      <w:tr>
        <w:trPr>
          <w:tblHeader w:val="false"/>
        </w:trPr>
        <w:tc>
          <w:tcPr>
            <w:tcW w:type="dxa" w:w="1500"/>
            <w:tcBorders>
              <w:top w:val="single" w:color="CCCCCC" w:sz="4"/>
              <w:left w:val="single" w:color="CCCCCC" w:sz="4"/>
              <w:bottom w:val="single" w:color="CCCCCC" w:sz="4"/>
              <w:right w:val="single" w:color="CCCCCC" w:sz="4"/>
            </w:tcBorders>
            <w:shd w:fill="F5F8FA" w:val="clear"/>
            <w:tcMar>
              <w:top w:type="dxa" w:w="100"/>
              <w:left w:type="dxa" w:w="140"/>
              <w:bottom w:type="dxa" w:w="100"/>
              <w:right w:type="dxa" w:w="140"/>
            </w:tcMar>
          </w:tcPr>
          <w:p>
            <w:r>
              <w:rPr>
                <w:b w:val="false"/>
                <w:bCs w:val="false"/>
              </w:rPr>
              <w:t xml:space="preserve">Tenant provisioning</w:t>
            </w:r>
          </w:p>
        </w:tc>
        <w:tc>
          <w:tcPr>
            <w:tcW w:type="dxa" w:w="1400"/>
            <w:tcBorders>
              <w:top w:val="single" w:color="CCCCCC" w:sz="4"/>
              <w:left w:val="single" w:color="CCCCCC" w:sz="4"/>
              <w:bottom w:val="single" w:color="CCCCCC" w:sz="4"/>
              <w:right w:val="single" w:color="CCCCCC" w:sz="4"/>
            </w:tcBorders>
            <w:shd w:fill="F5F8FA" w:val="clear"/>
            <w:tcMar>
              <w:top w:type="dxa" w:w="100"/>
              <w:left w:type="dxa" w:w="140"/>
              <w:bottom w:type="dxa" w:w="100"/>
              <w:right w:type="dxa" w:w="140"/>
            </w:tcMar>
          </w:tcPr>
          <w:p>
            <w:r>
              <w:rPr>
                <w:b w:val="false"/>
                <w:bCs w:val="false"/>
              </w:rPr>
              <w:t xml:space="preserve">1–2 weeks</w:t>
            </w:r>
          </w:p>
        </w:tc>
        <w:tc>
          <w:tcPr>
            <w:tcW w:type="dxa" w:w="2760"/>
            <w:tcBorders>
              <w:top w:val="single" w:color="CCCCCC" w:sz="4"/>
              <w:left w:val="single" w:color="CCCCCC" w:sz="4"/>
              <w:bottom w:val="single" w:color="CCCCCC" w:sz="4"/>
              <w:right w:val="single" w:color="CCCCCC" w:sz="4"/>
            </w:tcBorders>
            <w:shd w:fill="F5F8FA" w:val="clear"/>
            <w:tcMar>
              <w:top w:type="dxa" w:w="100"/>
              <w:left w:type="dxa" w:w="140"/>
              <w:bottom w:type="dxa" w:w="100"/>
              <w:right w:type="dxa" w:w="140"/>
            </w:tcMar>
          </w:tcPr>
          <w:p>
            <w:r>
              <w:rPr>
                <w:b w:val="false"/>
                <w:bCs w:val="false"/>
              </w:rPr>
              <w:t xml:space="preserve">Set up SSO, SCIM, admin roles, retention settings, data connectors, audit log destination.</w:t>
            </w:r>
          </w:p>
        </w:tc>
        <w:tc>
          <w:tcPr>
            <w:tcW w:type="dxa" w:w="2200"/>
            <w:tcBorders>
              <w:top w:val="single" w:color="CCCCCC" w:sz="4"/>
              <w:left w:val="single" w:color="CCCCCC" w:sz="4"/>
              <w:bottom w:val="single" w:color="CCCCCC" w:sz="4"/>
              <w:right w:val="single" w:color="CCCCCC" w:sz="4"/>
            </w:tcBorders>
            <w:shd w:fill="F5F8FA" w:val="clear"/>
            <w:tcMar>
              <w:top w:type="dxa" w:w="100"/>
              <w:left w:type="dxa" w:w="140"/>
              <w:bottom w:type="dxa" w:w="100"/>
              <w:right w:type="dxa" w:w="140"/>
            </w:tcMar>
          </w:tcPr>
          <w:p>
            <w:r>
              <w:rPr>
                <w:b w:val="false"/>
                <w:bCs w:val="false"/>
              </w:rPr>
              <w:t xml:space="preserve">Entra or Okta access. Designate an internal AI owner.</w:t>
            </w:r>
          </w:p>
        </w:tc>
        <w:tc>
          <w:tcPr>
            <w:tcW w:type="dxa" w:w="1500"/>
            <w:tcBorders>
              <w:top w:val="single" w:color="CCCCCC" w:sz="4"/>
              <w:left w:val="single" w:color="CCCCCC" w:sz="4"/>
              <w:bottom w:val="single" w:color="CCCCCC" w:sz="4"/>
              <w:right w:val="single" w:color="CCCCCC" w:sz="4"/>
            </w:tcBorders>
            <w:shd w:fill="F5F8FA" w:val="clear"/>
            <w:tcMar>
              <w:top w:type="dxa" w:w="100"/>
              <w:left w:type="dxa" w:w="140"/>
              <w:bottom w:type="dxa" w:w="100"/>
              <w:right w:type="dxa" w:w="140"/>
            </w:tcMar>
          </w:tcPr>
          <w:p>
            <w:r>
              <w:rPr>
                <w:b w:val="false"/>
                <w:bCs w:val="false"/>
              </w:rPr>
              <w:t xml:space="preserve">Configured tenant ready for users.</w:t>
            </w:r>
          </w:p>
        </w:tc>
      </w:tr>
      <w:tr>
        <w:trPr>
          <w:tblHeader w:val="false"/>
        </w:trPr>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Policy + baseline training</w:t>
            </w:r>
          </w:p>
        </w:tc>
        <w:tc>
          <w:tcPr>
            <w:tcW w:type="dxa" w:w="1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1 week</w:t>
            </w:r>
          </w:p>
        </w:tc>
        <w:tc>
          <w:tcPr>
            <w:tcW w:type="dxa" w:w="27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Draft the AI Usage Policy. Run role-based training (exec, team, power user). Set up the approved-tool list.</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Review and adopt the policy. Attend training. Communicate rollout internally.</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Published policy, trained users, ready-to-use tools.</w:t>
            </w:r>
          </w:p>
        </w:tc>
      </w:tr>
      <w:tr>
        <w:trPr>
          <w:tblHeader w:val="false"/>
        </w:trPr>
        <w:tc>
          <w:tcPr>
            <w:tcW w:type="dxa" w:w="1500"/>
            <w:tcBorders>
              <w:top w:val="single" w:color="CCCCCC" w:sz="4"/>
              <w:left w:val="single" w:color="CCCCCC" w:sz="4"/>
              <w:bottom w:val="single" w:color="CCCCCC" w:sz="4"/>
              <w:right w:val="single" w:color="CCCCCC" w:sz="4"/>
            </w:tcBorders>
            <w:shd w:fill="F5F8FA" w:val="clear"/>
            <w:tcMar>
              <w:top w:type="dxa" w:w="100"/>
              <w:left w:type="dxa" w:w="140"/>
              <w:bottom w:type="dxa" w:w="100"/>
              <w:right w:type="dxa" w:w="140"/>
            </w:tcMar>
          </w:tcPr>
          <w:p>
            <w:r>
              <w:rPr>
                <w:b w:val="false"/>
                <w:bCs w:val="false"/>
              </w:rPr>
              <w:t xml:space="preserve">Pilot rollout</w:t>
            </w:r>
          </w:p>
        </w:tc>
        <w:tc>
          <w:tcPr>
            <w:tcW w:type="dxa" w:w="1400"/>
            <w:tcBorders>
              <w:top w:val="single" w:color="CCCCCC" w:sz="4"/>
              <w:left w:val="single" w:color="CCCCCC" w:sz="4"/>
              <w:bottom w:val="single" w:color="CCCCCC" w:sz="4"/>
              <w:right w:val="single" w:color="CCCCCC" w:sz="4"/>
            </w:tcBorders>
            <w:shd w:fill="F5F8FA" w:val="clear"/>
            <w:tcMar>
              <w:top w:type="dxa" w:w="100"/>
              <w:left w:type="dxa" w:w="140"/>
              <w:bottom w:type="dxa" w:w="100"/>
              <w:right w:type="dxa" w:w="140"/>
            </w:tcMar>
          </w:tcPr>
          <w:p>
            <w:r>
              <w:rPr>
                <w:b w:val="false"/>
                <w:bCs w:val="false"/>
              </w:rPr>
              <w:t xml:space="preserve">2–4 weeks</w:t>
            </w:r>
          </w:p>
        </w:tc>
        <w:tc>
          <w:tcPr>
            <w:tcW w:type="dxa" w:w="2760"/>
            <w:tcBorders>
              <w:top w:val="single" w:color="CCCCCC" w:sz="4"/>
              <w:left w:val="single" w:color="CCCCCC" w:sz="4"/>
              <w:bottom w:val="single" w:color="CCCCCC" w:sz="4"/>
              <w:right w:val="single" w:color="CCCCCC" w:sz="4"/>
            </w:tcBorders>
            <w:shd w:fill="F5F8FA" w:val="clear"/>
            <w:tcMar>
              <w:top w:type="dxa" w:w="100"/>
              <w:left w:type="dxa" w:w="140"/>
              <w:bottom w:type="dxa" w:w="100"/>
              <w:right w:type="dxa" w:w="140"/>
            </w:tcMar>
          </w:tcPr>
          <w:p>
            <w:r>
              <w:rPr>
                <w:b w:val="false"/>
                <w:bCs w:val="false"/>
              </w:rPr>
              <w:t xml:space="preserve">Go live with 1–3 use cases. Build starter prompt library. Review outputs in weekly check-ins.</w:t>
            </w:r>
          </w:p>
        </w:tc>
        <w:tc>
          <w:tcPr>
            <w:tcW w:type="dxa" w:w="2200"/>
            <w:tcBorders>
              <w:top w:val="single" w:color="CCCCCC" w:sz="4"/>
              <w:left w:val="single" w:color="CCCCCC" w:sz="4"/>
              <w:bottom w:val="single" w:color="CCCCCC" w:sz="4"/>
              <w:right w:val="single" w:color="CCCCCC" w:sz="4"/>
            </w:tcBorders>
            <w:shd w:fill="F5F8FA" w:val="clear"/>
            <w:tcMar>
              <w:top w:type="dxa" w:w="100"/>
              <w:left w:type="dxa" w:w="140"/>
              <w:bottom w:type="dxa" w:w="100"/>
              <w:right w:type="dxa" w:w="140"/>
            </w:tcMar>
          </w:tcPr>
          <w:p>
            <w:r>
              <w:rPr>
                <w:b w:val="false"/>
                <w:bCs w:val="false"/>
              </w:rPr>
              <w:t xml:space="preserve">Use the tools. Report friction. Flag misfires.</w:t>
            </w:r>
          </w:p>
        </w:tc>
        <w:tc>
          <w:tcPr>
            <w:tcW w:type="dxa" w:w="1500"/>
            <w:tcBorders>
              <w:top w:val="single" w:color="CCCCCC" w:sz="4"/>
              <w:left w:val="single" w:color="CCCCCC" w:sz="4"/>
              <w:bottom w:val="single" w:color="CCCCCC" w:sz="4"/>
              <w:right w:val="single" w:color="CCCCCC" w:sz="4"/>
            </w:tcBorders>
            <w:shd w:fill="F5F8FA" w:val="clear"/>
            <w:tcMar>
              <w:top w:type="dxa" w:w="100"/>
              <w:left w:type="dxa" w:w="140"/>
              <w:bottom w:type="dxa" w:w="100"/>
              <w:right w:type="dxa" w:w="140"/>
            </w:tcMar>
          </w:tcPr>
          <w:p>
            <w:r>
              <w:rPr>
                <w:b w:val="false"/>
                <w:bCs w:val="false"/>
              </w:rPr>
              <w:t xml:space="preserve">Pilot results, lessons, adjusted workflows.</w:t>
            </w:r>
          </w:p>
        </w:tc>
      </w:tr>
      <w:tr>
        <w:trPr>
          <w:tblHeader w:val="false"/>
        </w:trPr>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Full rollout</w:t>
            </w:r>
          </w:p>
        </w:tc>
        <w:tc>
          <w:tcPr>
            <w:tcW w:type="dxa" w:w="1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2–4 weeks</w:t>
            </w:r>
          </w:p>
        </w:tc>
        <w:tc>
          <w:tcPr>
            <w:tcW w:type="dxa" w:w="27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Broaden to full workforce. Tune prompts. Add role-specific use cases. Integrate with CRM / ticketing / file storage.</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Operational adoption. Surface new use-case candidates.</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AI as part of daily workflows.</w:t>
            </w:r>
          </w:p>
        </w:tc>
      </w:tr>
      <w:tr>
        <w:trPr>
          <w:tblHeader w:val="false"/>
        </w:trPr>
        <w:tc>
          <w:tcPr>
            <w:tcW w:type="dxa" w:w="1500"/>
            <w:tcBorders>
              <w:top w:val="single" w:color="CCCCCC" w:sz="4"/>
              <w:left w:val="single" w:color="CCCCCC" w:sz="4"/>
              <w:bottom w:val="single" w:color="CCCCCC" w:sz="4"/>
              <w:right w:val="single" w:color="CCCCCC" w:sz="4"/>
            </w:tcBorders>
            <w:shd w:fill="F5F8FA" w:val="clear"/>
            <w:tcMar>
              <w:top w:type="dxa" w:w="100"/>
              <w:left w:type="dxa" w:w="140"/>
              <w:bottom w:type="dxa" w:w="100"/>
              <w:right w:type="dxa" w:w="140"/>
            </w:tcMar>
          </w:tcPr>
          <w:p>
            <w:r>
              <w:rPr>
                <w:b w:val="false"/>
                <w:bCs w:val="false"/>
              </w:rPr>
              <w:t xml:space="preserve">Ongoing governance</w:t>
            </w:r>
          </w:p>
        </w:tc>
        <w:tc>
          <w:tcPr>
            <w:tcW w:type="dxa" w:w="1400"/>
            <w:tcBorders>
              <w:top w:val="single" w:color="CCCCCC" w:sz="4"/>
              <w:left w:val="single" w:color="CCCCCC" w:sz="4"/>
              <w:bottom w:val="single" w:color="CCCCCC" w:sz="4"/>
              <w:right w:val="single" w:color="CCCCCC" w:sz="4"/>
            </w:tcBorders>
            <w:shd w:fill="F5F8FA" w:val="clear"/>
            <w:tcMar>
              <w:top w:type="dxa" w:w="100"/>
              <w:left w:type="dxa" w:w="140"/>
              <w:bottom w:type="dxa" w:w="100"/>
              <w:right w:type="dxa" w:w="140"/>
            </w:tcMar>
          </w:tcPr>
          <w:p>
            <w:r>
              <w:rPr>
                <w:b w:val="false"/>
                <w:bCs w:val="false"/>
              </w:rPr>
              <w:t xml:space="preserve">Continuous</w:t>
            </w:r>
          </w:p>
        </w:tc>
        <w:tc>
          <w:tcPr>
            <w:tcW w:type="dxa" w:w="2760"/>
            <w:tcBorders>
              <w:top w:val="single" w:color="CCCCCC" w:sz="4"/>
              <w:left w:val="single" w:color="CCCCCC" w:sz="4"/>
              <w:bottom w:val="single" w:color="CCCCCC" w:sz="4"/>
              <w:right w:val="single" w:color="CCCCCC" w:sz="4"/>
            </w:tcBorders>
            <w:shd w:fill="F5F8FA" w:val="clear"/>
            <w:tcMar>
              <w:top w:type="dxa" w:w="100"/>
              <w:left w:type="dxa" w:w="140"/>
              <w:bottom w:type="dxa" w:w="100"/>
              <w:right w:type="dxa" w:w="140"/>
            </w:tcMar>
          </w:tcPr>
          <w:p>
            <w:r>
              <w:rPr>
                <w:b w:val="false"/>
                <w:bCs w:val="false"/>
              </w:rPr>
              <w:t xml:space="preserve">Monthly Enablement check-ins, quarterly governance review, annual 4D re-score.</w:t>
            </w:r>
          </w:p>
        </w:tc>
        <w:tc>
          <w:tcPr>
            <w:tcW w:type="dxa" w:w="2200"/>
            <w:tcBorders>
              <w:top w:val="single" w:color="CCCCCC" w:sz="4"/>
              <w:left w:val="single" w:color="CCCCCC" w:sz="4"/>
              <w:bottom w:val="single" w:color="CCCCCC" w:sz="4"/>
              <w:right w:val="single" w:color="CCCCCC" w:sz="4"/>
            </w:tcBorders>
            <w:shd w:fill="F5F8FA" w:val="clear"/>
            <w:tcMar>
              <w:top w:type="dxa" w:w="100"/>
              <w:left w:type="dxa" w:w="140"/>
              <w:bottom w:type="dxa" w:w="100"/>
              <w:right w:type="dxa" w:w="140"/>
            </w:tcMar>
          </w:tcPr>
          <w:p>
            <w:r>
              <w:rPr>
                <w:b w:val="false"/>
                <w:bCs w:val="false"/>
              </w:rPr>
              <w:t xml:space="preserve">Participate in governance. Raise new needs.</w:t>
            </w:r>
          </w:p>
        </w:tc>
        <w:tc>
          <w:tcPr>
            <w:tcW w:type="dxa" w:w="1500"/>
            <w:tcBorders>
              <w:top w:val="single" w:color="CCCCCC" w:sz="4"/>
              <w:left w:val="single" w:color="CCCCCC" w:sz="4"/>
              <w:bottom w:val="single" w:color="CCCCCC" w:sz="4"/>
              <w:right w:val="single" w:color="CCCCCC" w:sz="4"/>
            </w:tcBorders>
            <w:shd w:fill="F5F8FA" w:val="clear"/>
            <w:tcMar>
              <w:top w:type="dxa" w:w="100"/>
              <w:left w:type="dxa" w:w="140"/>
              <w:bottom w:type="dxa" w:w="100"/>
              <w:right w:type="dxa" w:w="140"/>
            </w:tcMar>
          </w:tcPr>
          <w:p>
            <w:r>
              <w:rPr>
                <w:b w:val="false"/>
                <w:bCs w:val="false"/>
              </w:rPr>
              <w:t xml:space="preserve">Living program; recurring revenue for Katana.</w:t>
            </w:r>
          </w:p>
        </w:tc>
      </w:tr>
    </w:tbl>
    <w:p>
      <w:pPr>
        <w:pStyle w:val="Heading1"/>
      </w:pPr>
      <w:r>
        <w:t xml:space="preserve">13. Wholesale and Reseller Opportunities for Katana</w:t>
      </w:r>
    </w:p>
    <w:p>
      <w:pPr>
        <w:spacing w:after="80" w:before="80"/>
      </w:pPr>
      <w:r>
        <w:t xml:space="preserve">Katana can make margin on the license itself, not just the service — but the channels are provider-specific and maturing at different speeds. Below is the April 2026 lay of the land. Every program’s terms change; the path Katana actually takes should be re-verified before commitments are made.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960"/>
        <w:gridCol w:w="2900"/>
        <w:gridCol w:w="1600"/>
      </w:tblGrid>
      <w:tr>
        <w:trPr>
          <w:tblHeader/>
        </w:trPr>
        <w:tc>
          <w:tcPr>
            <w:tcW w:type="dxa" w:w="1900"/>
            <w:tcBorders>
              <w:top w:val="single" w:color="CCCCCC" w:sz="4"/>
              <w:left w:val="single" w:color="CCCCCC" w:sz="4"/>
              <w:bottom w:val="single" w:color="CCCCCC" w:sz="4"/>
              <w:right w:val="single" w:color="CCCCCC" w:sz="4"/>
            </w:tcBorders>
            <w:shd w:fill="D5E8F0" w:val="clear"/>
            <w:tcMar>
              <w:top w:type="dxa" w:w="100"/>
              <w:left w:type="dxa" w:w="140"/>
              <w:bottom w:type="dxa" w:w="100"/>
              <w:right w:type="dxa" w:w="140"/>
            </w:tcMar>
          </w:tcPr>
          <w:p>
            <w:r>
              <w:rPr>
                <w:b/>
                <w:bCs/>
              </w:rPr>
              <w:t xml:space="preserve">Channel</w:t>
            </w:r>
          </w:p>
        </w:tc>
        <w:tc>
          <w:tcPr>
            <w:tcW w:type="dxa" w:w="2960"/>
            <w:tcBorders>
              <w:top w:val="single" w:color="CCCCCC" w:sz="4"/>
              <w:left w:val="single" w:color="CCCCCC" w:sz="4"/>
              <w:bottom w:val="single" w:color="CCCCCC" w:sz="4"/>
              <w:right w:val="single" w:color="CCCCCC" w:sz="4"/>
            </w:tcBorders>
            <w:shd w:fill="D5E8F0" w:val="clear"/>
            <w:tcMar>
              <w:top w:type="dxa" w:w="100"/>
              <w:left w:type="dxa" w:w="140"/>
              <w:bottom w:type="dxa" w:w="100"/>
              <w:right w:type="dxa" w:w="140"/>
            </w:tcMar>
          </w:tcPr>
          <w:p>
            <w:r>
              <w:rPr>
                <w:b/>
                <w:bCs/>
              </w:rPr>
              <w:t xml:space="preserve">How it works</w:t>
            </w:r>
          </w:p>
        </w:tc>
        <w:tc>
          <w:tcPr>
            <w:tcW w:type="dxa" w:w="2900"/>
            <w:tcBorders>
              <w:top w:val="single" w:color="CCCCCC" w:sz="4"/>
              <w:left w:val="single" w:color="CCCCCC" w:sz="4"/>
              <w:bottom w:val="single" w:color="CCCCCC" w:sz="4"/>
              <w:right w:val="single" w:color="CCCCCC" w:sz="4"/>
            </w:tcBorders>
            <w:shd w:fill="D5E8F0" w:val="clear"/>
            <w:tcMar>
              <w:top w:type="dxa" w:w="100"/>
              <w:left w:type="dxa" w:w="140"/>
              <w:bottom w:type="dxa" w:w="100"/>
              <w:right w:type="dxa" w:w="140"/>
            </w:tcMar>
          </w:tcPr>
          <w:p>
            <w:r>
              <w:rPr>
                <w:b/>
                <w:bCs/>
              </w:rPr>
              <w:t xml:space="preserve">Katana’s path</w:t>
            </w:r>
          </w:p>
        </w:tc>
        <w:tc>
          <w:tcPr>
            <w:tcW w:type="dxa" w:w="1600"/>
            <w:tcBorders>
              <w:top w:val="single" w:color="CCCCCC" w:sz="4"/>
              <w:left w:val="single" w:color="CCCCCC" w:sz="4"/>
              <w:bottom w:val="single" w:color="CCCCCC" w:sz="4"/>
              <w:right w:val="single" w:color="CCCCCC" w:sz="4"/>
            </w:tcBorders>
            <w:shd w:fill="D5E8F0" w:val="clear"/>
            <w:tcMar>
              <w:top w:type="dxa" w:w="100"/>
              <w:left w:type="dxa" w:w="140"/>
              <w:bottom w:type="dxa" w:w="100"/>
              <w:right w:type="dxa" w:w="140"/>
            </w:tcMar>
          </w:tcPr>
          <w:p>
            <w:r>
              <w:rPr>
                <w:b/>
                <w:bCs/>
              </w:rPr>
              <w:t xml:space="preserve">Speed to revenue</w:t>
            </w:r>
          </w:p>
        </w:tc>
      </w:tr>
      <w:tr>
        <w:trPr>
          <w:tblHeader w:val="false"/>
        </w:trPr>
        <w:tc>
          <w:tcPr>
            <w:tcW w:type="dxa" w:w="19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Microsoft CSP (Cloud Solution Provider)</w:t>
            </w:r>
          </w:p>
        </w:tc>
        <w:tc>
          <w:tcPr>
            <w:tcW w:type="dxa" w:w="29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Sell M365, Copilot, Azure, and Azure OpenAI licenses directly to clients with margin. Standard MSP motion.</w:t>
            </w:r>
          </w:p>
        </w:tc>
        <w:tc>
          <w:tcPr>
            <w:tcW w:type="dxa" w:w="29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Apply as a Microsoft CSP partner (Indirect or Direct). Katana likely goes through an Indirect Provider (distributor) to start.</w:t>
            </w:r>
          </w:p>
        </w:tc>
        <w:tc>
          <w:tcPr>
            <w:tcW w:type="dxa" w:w="16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Fast — weeks. Most common MSP path.</w:t>
            </w:r>
          </w:p>
        </w:tc>
      </w:tr>
      <w:tr>
        <w:trPr>
          <w:tblHeader w:val="false"/>
        </w:trPr>
        <w:tc>
          <w:tcPr>
            <w:tcW w:type="dxa" w:w="1900"/>
            <w:tcBorders>
              <w:top w:val="single" w:color="CCCCCC" w:sz="4"/>
              <w:left w:val="single" w:color="CCCCCC" w:sz="4"/>
              <w:bottom w:val="single" w:color="CCCCCC" w:sz="4"/>
              <w:right w:val="single" w:color="CCCCCC" w:sz="4"/>
            </w:tcBorders>
            <w:shd w:fill="F5F8FA" w:val="clear"/>
            <w:tcMar>
              <w:top w:type="dxa" w:w="100"/>
              <w:left w:type="dxa" w:w="140"/>
              <w:bottom w:type="dxa" w:w="100"/>
              <w:right w:type="dxa" w:w="140"/>
            </w:tcMar>
          </w:tcPr>
          <w:p>
            <w:r>
              <w:rPr>
                <w:b w:val="false"/>
                <w:bCs w:val="false"/>
              </w:rPr>
              <w:t xml:space="preserve">Azure OpenAI</w:t>
            </w:r>
          </w:p>
        </w:tc>
        <w:tc>
          <w:tcPr>
            <w:tcW w:type="dxa" w:w="2960"/>
            <w:tcBorders>
              <w:top w:val="single" w:color="CCCCCC" w:sz="4"/>
              <w:left w:val="single" w:color="CCCCCC" w:sz="4"/>
              <w:bottom w:val="single" w:color="CCCCCC" w:sz="4"/>
              <w:right w:val="single" w:color="CCCCCC" w:sz="4"/>
            </w:tcBorders>
            <w:shd w:fill="F5F8FA" w:val="clear"/>
            <w:tcMar>
              <w:top w:type="dxa" w:w="100"/>
              <w:left w:type="dxa" w:w="140"/>
              <w:bottom w:type="dxa" w:w="100"/>
              <w:right w:type="dxa" w:w="140"/>
            </w:tcMar>
          </w:tcPr>
          <w:p>
            <w:r>
              <w:rPr>
                <w:b w:val="false"/>
                <w:bCs w:val="false"/>
              </w:rPr>
              <w:t xml:space="preserve">OpenAI’s models (GPT-5, etc.) sold inside Azure. Reselling happens via the CSP channel.</w:t>
            </w:r>
          </w:p>
        </w:tc>
        <w:tc>
          <w:tcPr>
            <w:tcW w:type="dxa" w:w="2900"/>
            <w:tcBorders>
              <w:top w:val="single" w:color="CCCCCC" w:sz="4"/>
              <w:left w:val="single" w:color="CCCCCC" w:sz="4"/>
              <w:bottom w:val="single" w:color="CCCCCC" w:sz="4"/>
              <w:right w:val="single" w:color="CCCCCC" w:sz="4"/>
            </w:tcBorders>
            <w:shd w:fill="F5F8FA" w:val="clear"/>
            <w:tcMar>
              <w:top w:type="dxa" w:w="100"/>
              <w:left w:type="dxa" w:w="140"/>
              <w:bottom w:type="dxa" w:w="100"/>
              <w:right w:type="dxa" w:w="140"/>
            </w:tcMar>
          </w:tcPr>
          <w:p>
            <w:r>
              <w:rPr>
                <w:b w:val="false"/>
                <w:bCs w:val="false"/>
              </w:rPr>
              <w:t xml:space="preserve">Included once Katana is a CSP partner. Consumption-based billing through Azure.</w:t>
            </w:r>
          </w:p>
        </w:tc>
        <w:tc>
          <w:tcPr>
            <w:tcW w:type="dxa" w:w="1600"/>
            <w:tcBorders>
              <w:top w:val="single" w:color="CCCCCC" w:sz="4"/>
              <w:left w:val="single" w:color="CCCCCC" w:sz="4"/>
              <w:bottom w:val="single" w:color="CCCCCC" w:sz="4"/>
              <w:right w:val="single" w:color="CCCCCC" w:sz="4"/>
            </w:tcBorders>
            <w:shd w:fill="F5F8FA" w:val="clear"/>
            <w:tcMar>
              <w:top w:type="dxa" w:w="100"/>
              <w:left w:type="dxa" w:w="140"/>
              <w:bottom w:type="dxa" w:w="100"/>
              <w:right w:type="dxa" w:w="140"/>
            </w:tcMar>
          </w:tcPr>
          <w:p>
            <w:r>
              <w:rPr>
                <w:b w:val="false"/>
                <w:bCs w:val="false"/>
              </w:rPr>
              <w:t xml:space="preserve">Fast once CSP is in place.</w:t>
            </w:r>
          </w:p>
        </w:tc>
      </w:tr>
      <w:tr>
        <w:trPr>
          <w:tblHeader w:val="false"/>
        </w:trPr>
        <w:tc>
          <w:tcPr>
            <w:tcW w:type="dxa" w:w="19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Anthropic Partner Program</w:t>
            </w:r>
          </w:p>
        </w:tc>
        <w:tc>
          <w:tcPr>
            <w:tcW w:type="dxa" w:w="29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Anthropic has a partner ecosystem including reseller, solutions, and technology partner tracks. Terms evolve.</w:t>
            </w:r>
          </w:p>
        </w:tc>
        <w:tc>
          <w:tcPr>
            <w:tcW w:type="dxa" w:w="29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Apply directly to Anthropic. Verify current commercial terms, margin, and seat thresholds before pitching Claude Enterprise.</w:t>
            </w:r>
          </w:p>
        </w:tc>
        <w:tc>
          <w:tcPr>
            <w:tcW w:type="dxa" w:w="16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Medium — weeks to months. Verify current program shape in April 2026.</w:t>
            </w:r>
          </w:p>
        </w:tc>
      </w:tr>
      <w:tr>
        <w:trPr>
          <w:tblHeader w:val="false"/>
        </w:trPr>
        <w:tc>
          <w:tcPr>
            <w:tcW w:type="dxa" w:w="1900"/>
            <w:tcBorders>
              <w:top w:val="single" w:color="CCCCCC" w:sz="4"/>
              <w:left w:val="single" w:color="CCCCCC" w:sz="4"/>
              <w:bottom w:val="single" w:color="CCCCCC" w:sz="4"/>
              <w:right w:val="single" w:color="CCCCCC" w:sz="4"/>
            </w:tcBorders>
            <w:shd w:fill="F5F8FA" w:val="clear"/>
            <w:tcMar>
              <w:top w:type="dxa" w:w="100"/>
              <w:left w:type="dxa" w:w="140"/>
              <w:bottom w:type="dxa" w:w="100"/>
              <w:right w:type="dxa" w:w="140"/>
            </w:tcMar>
          </w:tcPr>
          <w:p>
            <w:r>
              <w:rPr>
                <w:b w:val="false"/>
                <w:bCs w:val="false"/>
              </w:rPr>
              <w:t xml:space="preserve">AWS Marketplace / Bedrock</w:t>
            </w:r>
          </w:p>
        </w:tc>
        <w:tc>
          <w:tcPr>
            <w:tcW w:type="dxa" w:w="2960"/>
            <w:tcBorders>
              <w:top w:val="single" w:color="CCCCCC" w:sz="4"/>
              <w:left w:val="single" w:color="CCCCCC" w:sz="4"/>
              <w:bottom w:val="single" w:color="CCCCCC" w:sz="4"/>
              <w:right w:val="single" w:color="CCCCCC" w:sz="4"/>
            </w:tcBorders>
            <w:shd w:fill="F5F8FA" w:val="clear"/>
            <w:tcMar>
              <w:top w:type="dxa" w:w="100"/>
              <w:left w:type="dxa" w:w="140"/>
              <w:bottom w:type="dxa" w:w="100"/>
              <w:right w:type="dxa" w:w="140"/>
            </w:tcMar>
          </w:tcPr>
          <w:p>
            <w:r>
              <w:rPr>
                <w:b w:val="false"/>
                <w:bCs w:val="false"/>
              </w:rPr>
              <w:t xml:space="preserve">Claude, Llama, and others available on AWS Bedrock. MSPs who are AWS Partners can resell and operate.</w:t>
            </w:r>
          </w:p>
        </w:tc>
        <w:tc>
          <w:tcPr>
            <w:tcW w:type="dxa" w:w="2900"/>
            <w:tcBorders>
              <w:top w:val="single" w:color="CCCCCC" w:sz="4"/>
              <w:left w:val="single" w:color="CCCCCC" w:sz="4"/>
              <w:bottom w:val="single" w:color="CCCCCC" w:sz="4"/>
              <w:right w:val="single" w:color="CCCCCC" w:sz="4"/>
            </w:tcBorders>
            <w:shd w:fill="F5F8FA" w:val="clear"/>
            <w:tcMar>
              <w:top w:type="dxa" w:w="100"/>
              <w:left w:type="dxa" w:w="140"/>
              <w:bottom w:type="dxa" w:w="100"/>
              <w:right w:type="dxa" w:w="140"/>
            </w:tcMar>
          </w:tcPr>
          <w:p>
            <w:r>
              <w:rPr>
                <w:b w:val="false"/>
                <w:bCs w:val="false"/>
              </w:rPr>
              <w:t xml:space="preserve">AWS Partner Network. Bedrock access. Useful if Katana has or wants AWS clients.</w:t>
            </w:r>
          </w:p>
        </w:tc>
        <w:tc>
          <w:tcPr>
            <w:tcW w:type="dxa" w:w="1600"/>
            <w:tcBorders>
              <w:top w:val="single" w:color="CCCCCC" w:sz="4"/>
              <w:left w:val="single" w:color="CCCCCC" w:sz="4"/>
              <w:bottom w:val="single" w:color="CCCCCC" w:sz="4"/>
              <w:right w:val="single" w:color="CCCCCC" w:sz="4"/>
            </w:tcBorders>
            <w:shd w:fill="F5F8FA" w:val="clear"/>
            <w:tcMar>
              <w:top w:type="dxa" w:w="100"/>
              <w:left w:type="dxa" w:w="140"/>
              <w:bottom w:type="dxa" w:w="100"/>
              <w:right w:type="dxa" w:w="140"/>
            </w:tcMar>
          </w:tcPr>
          <w:p>
            <w:r>
              <w:rPr>
                <w:b w:val="false"/>
                <w:bCs w:val="false"/>
              </w:rPr>
              <w:t xml:space="preserve">Medium.</w:t>
            </w:r>
          </w:p>
        </w:tc>
      </w:tr>
      <w:tr>
        <w:trPr>
          <w:tblHeader w:val="false"/>
        </w:trPr>
        <w:tc>
          <w:tcPr>
            <w:tcW w:type="dxa" w:w="19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Google Vertex AI / Workspace Reseller</w:t>
            </w:r>
          </w:p>
        </w:tc>
        <w:tc>
          <w:tcPr>
            <w:tcW w:type="dxa" w:w="29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Gemini, Claude, and others available on Vertex AI. Workspace reseller program exists.</w:t>
            </w:r>
          </w:p>
        </w:tc>
        <w:tc>
          <w:tcPr>
            <w:tcW w:type="dxa" w:w="29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Google Cloud Partner Advantage. Workspace reseller for Gemini Business/Enterprise.</w:t>
            </w:r>
          </w:p>
        </w:tc>
        <w:tc>
          <w:tcPr>
            <w:tcW w:type="dxa" w:w="16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Medium.</w:t>
            </w:r>
          </w:p>
        </w:tc>
      </w:tr>
      <w:tr>
        <w:trPr>
          <w:tblHeader w:val="false"/>
        </w:trPr>
        <w:tc>
          <w:tcPr>
            <w:tcW w:type="dxa" w:w="1900"/>
            <w:tcBorders>
              <w:top w:val="single" w:color="CCCCCC" w:sz="4"/>
              <w:left w:val="single" w:color="CCCCCC" w:sz="4"/>
              <w:bottom w:val="single" w:color="CCCCCC" w:sz="4"/>
              <w:right w:val="single" w:color="CCCCCC" w:sz="4"/>
            </w:tcBorders>
            <w:shd w:fill="F5F8FA" w:val="clear"/>
            <w:tcMar>
              <w:top w:type="dxa" w:w="100"/>
              <w:left w:type="dxa" w:w="140"/>
              <w:bottom w:type="dxa" w:w="100"/>
              <w:right w:type="dxa" w:w="140"/>
            </w:tcMar>
          </w:tcPr>
          <w:p>
            <w:r>
              <w:rPr>
                <w:b w:val="false"/>
                <w:bCs w:val="false"/>
              </w:rPr>
              <w:t xml:space="preserve">OpenAI direct</w:t>
            </w:r>
          </w:p>
        </w:tc>
        <w:tc>
          <w:tcPr>
            <w:tcW w:type="dxa" w:w="2960"/>
            <w:tcBorders>
              <w:top w:val="single" w:color="CCCCCC" w:sz="4"/>
              <w:left w:val="single" w:color="CCCCCC" w:sz="4"/>
              <w:bottom w:val="single" w:color="CCCCCC" w:sz="4"/>
              <w:right w:val="single" w:color="CCCCCC" w:sz="4"/>
            </w:tcBorders>
            <w:shd w:fill="F5F8FA" w:val="clear"/>
            <w:tcMar>
              <w:top w:type="dxa" w:w="100"/>
              <w:left w:type="dxa" w:w="140"/>
              <w:bottom w:type="dxa" w:w="100"/>
              <w:right w:type="dxa" w:w="140"/>
            </w:tcMar>
          </w:tcPr>
          <w:p>
            <w:r>
              <w:rPr>
                <w:b w:val="false"/>
                <w:bCs w:val="false"/>
              </w:rPr>
              <w:t xml:space="preserve">OpenAI has limited formal reseller channels at the Enterprise tier; most enterprise deals are direct.</w:t>
            </w:r>
          </w:p>
        </w:tc>
        <w:tc>
          <w:tcPr>
            <w:tcW w:type="dxa" w:w="2900"/>
            <w:tcBorders>
              <w:top w:val="single" w:color="CCCCCC" w:sz="4"/>
              <w:left w:val="single" w:color="CCCCCC" w:sz="4"/>
              <w:bottom w:val="single" w:color="CCCCCC" w:sz="4"/>
              <w:right w:val="single" w:color="CCCCCC" w:sz="4"/>
            </w:tcBorders>
            <w:shd w:fill="F5F8FA" w:val="clear"/>
            <w:tcMar>
              <w:top w:type="dxa" w:w="100"/>
              <w:left w:type="dxa" w:w="140"/>
              <w:bottom w:type="dxa" w:w="100"/>
              <w:right w:type="dxa" w:w="140"/>
            </w:tcMar>
          </w:tcPr>
          <w:p>
            <w:r>
              <w:rPr>
                <w:b w:val="false"/>
                <w:bCs w:val="false"/>
              </w:rPr>
              <w:t xml:space="preserve">Use Azure OpenAI as the primary OpenAI resale path (via CSP). Monitor OpenAI’s own partner program.</w:t>
            </w:r>
          </w:p>
        </w:tc>
        <w:tc>
          <w:tcPr>
            <w:tcW w:type="dxa" w:w="1600"/>
            <w:tcBorders>
              <w:top w:val="single" w:color="CCCCCC" w:sz="4"/>
              <w:left w:val="single" w:color="CCCCCC" w:sz="4"/>
              <w:bottom w:val="single" w:color="CCCCCC" w:sz="4"/>
              <w:right w:val="single" w:color="CCCCCC" w:sz="4"/>
            </w:tcBorders>
            <w:shd w:fill="F5F8FA" w:val="clear"/>
            <w:tcMar>
              <w:top w:type="dxa" w:w="100"/>
              <w:left w:type="dxa" w:w="140"/>
              <w:bottom w:type="dxa" w:w="100"/>
              <w:right w:type="dxa" w:w="140"/>
            </w:tcMar>
          </w:tcPr>
          <w:p>
            <w:r>
              <w:rPr>
                <w:b w:val="false"/>
                <w:bCs w:val="false"/>
              </w:rPr>
              <w:t xml:space="preserve">Slow direct; fast via Azure.</w:t>
            </w:r>
          </w:p>
        </w:tc>
      </w:tr>
    </w:tbl>
    <w:p>
      <w:pPr>
        <w:pStyle w:val="Heading2"/>
      </w:pPr>
      <w:r>
        <w:t xml:space="preserve">13.1 Can Katana wholesale Claude for Business?</w:t>
      </w:r>
    </w:p>
    <w:p>
      <w:pPr>
        <w:spacing w:after="80" w:before="80"/>
      </w:pPr>
      <w:r>
        <w:t xml:space="preserve">Anthropic has a Partner Program with tracks for resellers, solutions partners, and technology partners. As of April 2026, Katana’s practical path is (a) apply directly to Anthropic to confirm current commercial terms, seat thresholds, and margin, and (b) in parallel, gain access to Claude via AWS Bedrock or Google Vertex AI for clients on those clouds. The specific terms for reselling Claude Enterprise — margin percentages, MDF, certification requirements — should be confirmed with Anthropic directly rather than assumed from public materials.</w:t>
      </w:r>
    </w:p>
    <w:p>
      <w:pPr>
        <w:pStyle w:val="Heading2"/>
      </w:pPr>
      <w:r>
        <w:t xml:space="preserve">13.2 The fastest revenue path</w:t>
      </w:r>
    </w:p>
    <w:p>
      <w:pPr>
        <w:spacing w:after="80" w:before="80"/>
      </w:pPr>
      <w:r>
        <w:t xml:space="preserve">Microsoft CSP. Most MSPs already use it for M365 licensing. Adding Copilot and Azure OpenAI to that channel is the lowest-friction way to start putting AI licenses on client invoices with Katana margin. This should happen in the first 30 days regardless of how the broader AI offering evolves.</w:t>
      </w:r>
    </w:p>
    <w:p>
      <w:pPr>
        <w:pStyle w:val="Heading1"/>
      </w:pPr>
      <w:r>
        <w:t xml:space="preserve">14. Technical Specs — What the Buzzwords Mean</w:t>
      </w:r>
    </w:p>
    <w:p>
      <w:pPr>
        <w:spacing w:after="80" w:before="80"/>
      </w:pPr>
      <w:r>
        <w:t xml:space="preserve">Ten terms Drew will hear constantly, in the language he can use with a client. This is a reference section, not a required reading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780"/>
        <w:gridCol w:w="3580"/>
      </w:tblGrid>
      <w:tr>
        <w:trPr>
          <w:tblHeader/>
        </w:trPr>
        <w:tc>
          <w:tcPr>
            <w:tcW w:type="dxa" w:w="2000"/>
            <w:tcBorders>
              <w:top w:val="single" w:color="CCCCCC" w:sz="4"/>
              <w:left w:val="single" w:color="CCCCCC" w:sz="4"/>
              <w:bottom w:val="single" w:color="CCCCCC" w:sz="4"/>
              <w:right w:val="single" w:color="CCCCCC" w:sz="4"/>
            </w:tcBorders>
            <w:shd w:fill="D5E8F0" w:val="clear"/>
            <w:tcMar>
              <w:top w:type="dxa" w:w="100"/>
              <w:left w:type="dxa" w:w="140"/>
              <w:bottom w:type="dxa" w:w="100"/>
              <w:right w:type="dxa" w:w="140"/>
            </w:tcMar>
          </w:tcPr>
          <w:p>
            <w:r>
              <w:rPr>
                <w:b/>
                <w:bCs/>
              </w:rPr>
              <w:t xml:space="preserve">Spec</w:t>
            </w:r>
          </w:p>
        </w:tc>
        <w:tc>
          <w:tcPr>
            <w:tcW w:type="dxa" w:w="3780"/>
            <w:tcBorders>
              <w:top w:val="single" w:color="CCCCCC" w:sz="4"/>
              <w:left w:val="single" w:color="CCCCCC" w:sz="4"/>
              <w:bottom w:val="single" w:color="CCCCCC" w:sz="4"/>
              <w:right w:val="single" w:color="CCCCCC" w:sz="4"/>
            </w:tcBorders>
            <w:shd w:fill="D5E8F0" w:val="clear"/>
            <w:tcMar>
              <w:top w:type="dxa" w:w="100"/>
              <w:left w:type="dxa" w:w="140"/>
              <w:bottom w:type="dxa" w:w="100"/>
              <w:right w:type="dxa" w:w="140"/>
            </w:tcMar>
          </w:tcPr>
          <w:p>
            <w:r>
              <w:rPr>
                <w:b/>
                <w:bCs/>
              </w:rPr>
              <w:t xml:space="preserve">What it means in plain English</w:t>
            </w:r>
          </w:p>
        </w:tc>
        <w:tc>
          <w:tcPr>
            <w:tcW w:type="dxa" w:w="3580"/>
            <w:tcBorders>
              <w:top w:val="single" w:color="CCCCCC" w:sz="4"/>
              <w:left w:val="single" w:color="CCCCCC" w:sz="4"/>
              <w:bottom w:val="single" w:color="CCCCCC" w:sz="4"/>
              <w:right w:val="single" w:color="CCCCCC" w:sz="4"/>
            </w:tcBorders>
            <w:shd w:fill="D5E8F0" w:val="clear"/>
            <w:tcMar>
              <w:top w:type="dxa" w:w="100"/>
              <w:left w:type="dxa" w:w="140"/>
              <w:bottom w:type="dxa" w:w="100"/>
              <w:right w:type="dxa" w:w="140"/>
            </w:tcMar>
          </w:tcPr>
          <w:p>
            <w:r>
              <w:rPr>
                <w:b/>
                <w:bCs/>
              </w:rPr>
              <w:t xml:space="preserve">Why it matters</w:t>
            </w:r>
          </w:p>
        </w:tc>
      </w:tr>
      <w:tr>
        <w:trPr>
          <w:tblHeader w:val="false"/>
        </w:trPr>
        <w:tc>
          <w:tcPr>
            <w:tcW w:type="dxa" w:w="2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Context window</w:t>
            </w:r>
          </w:p>
        </w:tc>
        <w:tc>
          <w:tcPr>
            <w:tcW w:type="dxa" w:w="378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How much text the AI can read in one shot. Measured in tokens (~0.75 words each).</w:t>
            </w:r>
          </w:p>
        </w:tc>
        <w:tc>
          <w:tcPr>
            <w:tcW w:type="dxa" w:w="358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Bigger = handle longer documents, more files, more history. Claude and Gemini lead here in 2026 (200K–millions of tokens).</w:t>
            </w:r>
          </w:p>
        </w:tc>
      </w:tr>
      <w:tr>
        <w:trPr>
          <w:tblHeader w:val="false"/>
        </w:trPr>
        <w:tc>
          <w:tcPr>
            <w:tcW w:type="dxa" w:w="2000"/>
            <w:tcBorders>
              <w:top w:val="single" w:color="CCCCCC" w:sz="4"/>
              <w:left w:val="single" w:color="CCCCCC" w:sz="4"/>
              <w:bottom w:val="single" w:color="CCCCCC" w:sz="4"/>
              <w:right w:val="single" w:color="CCCCCC" w:sz="4"/>
            </w:tcBorders>
            <w:shd w:fill="F5F8FA" w:val="clear"/>
            <w:tcMar>
              <w:top w:type="dxa" w:w="100"/>
              <w:left w:type="dxa" w:w="140"/>
              <w:bottom w:type="dxa" w:w="100"/>
              <w:right w:type="dxa" w:w="140"/>
            </w:tcMar>
          </w:tcPr>
          <w:p>
            <w:r>
              <w:rPr>
                <w:b w:val="false"/>
                <w:bCs w:val="false"/>
              </w:rPr>
              <w:t xml:space="preserve">Multimodal input</w:t>
            </w:r>
          </w:p>
        </w:tc>
        <w:tc>
          <w:tcPr>
            <w:tcW w:type="dxa" w:w="3780"/>
            <w:tcBorders>
              <w:top w:val="single" w:color="CCCCCC" w:sz="4"/>
              <w:left w:val="single" w:color="CCCCCC" w:sz="4"/>
              <w:bottom w:val="single" w:color="CCCCCC" w:sz="4"/>
              <w:right w:val="single" w:color="CCCCCC" w:sz="4"/>
            </w:tcBorders>
            <w:shd w:fill="F5F8FA" w:val="clear"/>
            <w:tcMar>
              <w:top w:type="dxa" w:w="100"/>
              <w:left w:type="dxa" w:w="140"/>
              <w:bottom w:type="dxa" w:w="100"/>
              <w:right w:type="dxa" w:w="140"/>
            </w:tcMar>
          </w:tcPr>
          <w:p>
            <w:r>
              <w:rPr>
                <w:b w:val="false"/>
                <w:bCs w:val="false"/>
              </w:rPr>
              <w:t xml:space="preserve">Can the AI read images, audio, video, PDFs — not just text?</w:t>
            </w:r>
          </w:p>
        </w:tc>
        <w:tc>
          <w:tcPr>
            <w:tcW w:type="dxa" w:w="3580"/>
            <w:tcBorders>
              <w:top w:val="single" w:color="CCCCCC" w:sz="4"/>
              <w:left w:val="single" w:color="CCCCCC" w:sz="4"/>
              <w:bottom w:val="single" w:color="CCCCCC" w:sz="4"/>
              <w:right w:val="single" w:color="CCCCCC" w:sz="4"/>
            </w:tcBorders>
            <w:shd w:fill="F5F8FA" w:val="clear"/>
            <w:tcMar>
              <w:top w:type="dxa" w:w="100"/>
              <w:left w:type="dxa" w:w="140"/>
              <w:bottom w:type="dxa" w:w="100"/>
              <w:right w:type="dxa" w:w="140"/>
            </w:tcMar>
          </w:tcPr>
          <w:p>
            <w:r>
              <w:rPr>
                <w:b w:val="false"/>
                <w:bCs w:val="false"/>
              </w:rPr>
              <w:t xml:space="preserve">Matters for vertical work: floor plans, receipts, medical images, meeting recordings.</w:t>
            </w:r>
          </w:p>
        </w:tc>
      </w:tr>
      <w:tr>
        <w:trPr>
          <w:tblHeader w:val="false"/>
        </w:trPr>
        <w:tc>
          <w:tcPr>
            <w:tcW w:type="dxa" w:w="2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Tool use / function calling</w:t>
            </w:r>
          </w:p>
        </w:tc>
        <w:tc>
          <w:tcPr>
            <w:tcW w:type="dxa" w:w="378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The AI can call tools or APIs as part of its response — look up a record, run a calculation, update a system.</w:t>
            </w:r>
          </w:p>
        </w:tc>
        <w:tc>
          <w:tcPr>
            <w:tcW w:type="dxa" w:w="358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Prerequisite for agents. All major providers support this.</w:t>
            </w:r>
          </w:p>
        </w:tc>
      </w:tr>
      <w:tr>
        <w:trPr>
          <w:tblHeader w:val="false"/>
        </w:trPr>
        <w:tc>
          <w:tcPr>
            <w:tcW w:type="dxa" w:w="2000"/>
            <w:tcBorders>
              <w:top w:val="single" w:color="CCCCCC" w:sz="4"/>
              <w:left w:val="single" w:color="CCCCCC" w:sz="4"/>
              <w:bottom w:val="single" w:color="CCCCCC" w:sz="4"/>
              <w:right w:val="single" w:color="CCCCCC" w:sz="4"/>
            </w:tcBorders>
            <w:shd w:fill="F5F8FA" w:val="clear"/>
            <w:tcMar>
              <w:top w:type="dxa" w:w="100"/>
              <w:left w:type="dxa" w:w="140"/>
              <w:bottom w:type="dxa" w:w="100"/>
              <w:right w:type="dxa" w:w="140"/>
            </w:tcMar>
          </w:tcPr>
          <w:p>
            <w:r>
              <w:rPr>
                <w:b w:val="false"/>
                <w:bCs w:val="false"/>
              </w:rPr>
              <w:t xml:space="preserve">MCP support</w:t>
            </w:r>
          </w:p>
        </w:tc>
        <w:tc>
          <w:tcPr>
            <w:tcW w:type="dxa" w:w="3780"/>
            <w:tcBorders>
              <w:top w:val="single" w:color="CCCCCC" w:sz="4"/>
              <w:left w:val="single" w:color="CCCCCC" w:sz="4"/>
              <w:bottom w:val="single" w:color="CCCCCC" w:sz="4"/>
              <w:right w:val="single" w:color="CCCCCC" w:sz="4"/>
            </w:tcBorders>
            <w:shd w:fill="F5F8FA" w:val="clear"/>
            <w:tcMar>
              <w:top w:type="dxa" w:w="100"/>
              <w:left w:type="dxa" w:w="140"/>
              <w:bottom w:type="dxa" w:w="100"/>
              <w:right w:type="dxa" w:w="140"/>
            </w:tcMar>
          </w:tcPr>
          <w:p>
            <w:r>
              <w:rPr>
                <w:b w:val="false"/>
                <w:bCs w:val="false"/>
              </w:rPr>
              <w:t xml:space="preserve">Model Context Protocol — open standard for connecting AI to any data source or tool.</w:t>
            </w:r>
          </w:p>
        </w:tc>
        <w:tc>
          <w:tcPr>
            <w:tcW w:type="dxa" w:w="3580"/>
            <w:tcBorders>
              <w:top w:val="single" w:color="CCCCCC" w:sz="4"/>
              <w:left w:val="single" w:color="CCCCCC" w:sz="4"/>
              <w:bottom w:val="single" w:color="CCCCCC" w:sz="4"/>
              <w:right w:val="single" w:color="CCCCCC" w:sz="4"/>
            </w:tcBorders>
            <w:shd w:fill="F5F8FA" w:val="clear"/>
            <w:tcMar>
              <w:top w:type="dxa" w:w="100"/>
              <w:left w:type="dxa" w:w="140"/>
              <w:bottom w:type="dxa" w:w="100"/>
              <w:right w:type="dxa" w:w="140"/>
            </w:tcMar>
          </w:tcPr>
          <w:p>
            <w:r>
              <w:rPr>
                <w:b w:val="false"/>
                <w:bCs w:val="false"/>
              </w:rPr>
              <w:t xml:space="preserve">Growing ecosystem, but every tool on a connected MCP server consumes context tokens whether the model uses it or not. See Section 6.2 for when to prefer direct API or CLI.</w:t>
            </w:r>
          </w:p>
        </w:tc>
      </w:tr>
      <w:tr>
        <w:trPr>
          <w:tblHeader w:val="false"/>
        </w:trPr>
        <w:tc>
          <w:tcPr>
            <w:tcW w:type="dxa" w:w="2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Streaming</w:t>
            </w:r>
          </w:p>
        </w:tc>
        <w:tc>
          <w:tcPr>
            <w:tcW w:type="dxa" w:w="378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AI output arrives token by token, not all at once.</w:t>
            </w:r>
          </w:p>
        </w:tc>
        <w:tc>
          <w:tcPr>
            <w:tcW w:type="dxa" w:w="358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Matters for UX in chat. All modern APIs support it.</w:t>
            </w:r>
          </w:p>
        </w:tc>
      </w:tr>
      <w:tr>
        <w:trPr>
          <w:tblHeader w:val="false"/>
        </w:trPr>
        <w:tc>
          <w:tcPr>
            <w:tcW w:type="dxa" w:w="2000"/>
            <w:tcBorders>
              <w:top w:val="single" w:color="CCCCCC" w:sz="4"/>
              <w:left w:val="single" w:color="CCCCCC" w:sz="4"/>
              <w:bottom w:val="single" w:color="CCCCCC" w:sz="4"/>
              <w:right w:val="single" w:color="CCCCCC" w:sz="4"/>
            </w:tcBorders>
            <w:shd w:fill="F5F8FA" w:val="clear"/>
            <w:tcMar>
              <w:top w:type="dxa" w:w="100"/>
              <w:left w:type="dxa" w:w="140"/>
              <w:bottom w:type="dxa" w:w="100"/>
              <w:right w:type="dxa" w:w="140"/>
            </w:tcMar>
          </w:tcPr>
          <w:p>
            <w:r>
              <w:rPr>
                <w:b w:val="false"/>
                <w:bCs w:val="false"/>
              </w:rPr>
              <w:t xml:space="preserve">Fine-tuning</w:t>
            </w:r>
          </w:p>
        </w:tc>
        <w:tc>
          <w:tcPr>
            <w:tcW w:type="dxa" w:w="3780"/>
            <w:tcBorders>
              <w:top w:val="single" w:color="CCCCCC" w:sz="4"/>
              <w:left w:val="single" w:color="CCCCCC" w:sz="4"/>
              <w:bottom w:val="single" w:color="CCCCCC" w:sz="4"/>
              <w:right w:val="single" w:color="CCCCCC" w:sz="4"/>
            </w:tcBorders>
            <w:shd w:fill="F5F8FA" w:val="clear"/>
            <w:tcMar>
              <w:top w:type="dxa" w:w="100"/>
              <w:left w:type="dxa" w:w="140"/>
              <w:bottom w:type="dxa" w:w="100"/>
              <w:right w:type="dxa" w:w="140"/>
            </w:tcMar>
          </w:tcPr>
          <w:p>
            <w:r>
              <w:rPr>
                <w:b w:val="false"/>
                <w:bCs w:val="false"/>
              </w:rPr>
              <w:t xml:space="preserve">Retraining a base model on client data for specialized style or terminology.</w:t>
            </w:r>
          </w:p>
        </w:tc>
        <w:tc>
          <w:tcPr>
            <w:tcW w:type="dxa" w:w="3580"/>
            <w:tcBorders>
              <w:top w:val="single" w:color="CCCCCC" w:sz="4"/>
              <w:left w:val="single" w:color="CCCCCC" w:sz="4"/>
              <w:bottom w:val="single" w:color="CCCCCC" w:sz="4"/>
              <w:right w:val="single" w:color="CCCCCC" w:sz="4"/>
            </w:tcBorders>
            <w:shd w:fill="F5F8FA" w:val="clear"/>
            <w:tcMar>
              <w:top w:type="dxa" w:w="100"/>
              <w:left w:type="dxa" w:w="140"/>
              <w:bottom w:type="dxa" w:w="100"/>
              <w:right w:type="dxa" w:w="140"/>
            </w:tcMar>
          </w:tcPr>
          <w:p>
            <w:r>
              <w:rPr>
                <w:b w:val="false"/>
                <w:bCs w:val="false"/>
              </w:rPr>
              <w:t xml:space="preserve">Usually not needed for SMB/mid-market. Can justify cost for high-volume repeatable tasks.</w:t>
            </w:r>
          </w:p>
        </w:tc>
      </w:tr>
      <w:tr>
        <w:trPr>
          <w:tblHeader w:val="false"/>
        </w:trPr>
        <w:tc>
          <w:tcPr>
            <w:tcW w:type="dxa" w:w="2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Rate limits</w:t>
            </w:r>
          </w:p>
        </w:tc>
        <w:tc>
          <w:tcPr>
            <w:tcW w:type="dxa" w:w="378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How many requests per minute / tokens per day the plan allows.</w:t>
            </w:r>
          </w:p>
        </w:tc>
        <w:tc>
          <w:tcPr>
            <w:tcW w:type="dxa" w:w="358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Enterprise limits are high; SMB plans can throttle heavy users. Check before rollout.</w:t>
            </w:r>
          </w:p>
        </w:tc>
      </w:tr>
      <w:tr>
        <w:trPr>
          <w:tblHeader w:val="false"/>
        </w:trPr>
        <w:tc>
          <w:tcPr>
            <w:tcW w:type="dxa" w:w="2000"/>
            <w:tcBorders>
              <w:top w:val="single" w:color="CCCCCC" w:sz="4"/>
              <w:left w:val="single" w:color="CCCCCC" w:sz="4"/>
              <w:bottom w:val="single" w:color="CCCCCC" w:sz="4"/>
              <w:right w:val="single" w:color="CCCCCC" w:sz="4"/>
            </w:tcBorders>
            <w:shd w:fill="F5F8FA" w:val="clear"/>
            <w:tcMar>
              <w:top w:type="dxa" w:w="100"/>
              <w:left w:type="dxa" w:w="140"/>
              <w:bottom w:type="dxa" w:w="100"/>
              <w:right w:type="dxa" w:w="140"/>
            </w:tcMar>
          </w:tcPr>
          <w:p>
            <w:r>
              <w:rPr>
                <w:b w:val="false"/>
                <w:bCs w:val="false"/>
              </w:rPr>
              <w:t xml:space="preserve">Deployment</w:t>
            </w:r>
          </w:p>
        </w:tc>
        <w:tc>
          <w:tcPr>
            <w:tcW w:type="dxa" w:w="3780"/>
            <w:tcBorders>
              <w:top w:val="single" w:color="CCCCCC" w:sz="4"/>
              <w:left w:val="single" w:color="CCCCCC" w:sz="4"/>
              <w:bottom w:val="single" w:color="CCCCCC" w:sz="4"/>
              <w:right w:val="single" w:color="CCCCCC" w:sz="4"/>
            </w:tcBorders>
            <w:shd w:fill="F5F8FA" w:val="clear"/>
            <w:tcMar>
              <w:top w:type="dxa" w:w="100"/>
              <w:left w:type="dxa" w:w="140"/>
              <w:bottom w:type="dxa" w:w="100"/>
              <w:right w:type="dxa" w:w="140"/>
            </w:tcMar>
          </w:tcPr>
          <w:p>
            <w:r>
              <w:rPr>
                <w:b w:val="false"/>
                <w:bCs w:val="false"/>
              </w:rPr>
              <w:t xml:space="preserve">Where the model runs: vendor cloud, hyperscaler (Azure/AWS/GCP), or private.</w:t>
            </w:r>
          </w:p>
        </w:tc>
        <w:tc>
          <w:tcPr>
            <w:tcW w:type="dxa" w:w="3580"/>
            <w:tcBorders>
              <w:top w:val="single" w:color="CCCCCC" w:sz="4"/>
              <w:left w:val="single" w:color="CCCCCC" w:sz="4"/>
              <w:bottom w:val="single" w:color="CCCCCC" w:sz="4"/>
              <w:right w:val="single" w:color="CCCCCC" w:sz="4"/>
            </w:tcBorders>
            <w:shd w:fill="F5F8FA" w:val="clear"/>
            <w:tcMar>
              <w:top w:type="dxa" w:w="100"/>
              <w:left w:type="dxa" w:w="140"/>
              <w:bottom w:type="dxa" w:w="100"/>
              <w:right w:type="dxa" w:w="140"/>
            </w:tcMar>
          </w:tcPr>
          <w:p>
            <w:r>
              <w:rPr>
                <w:b w:val="false"/>
                <w:bCs w:val="false"/>
              </w:rPr>
              <w:t xml:space="preserve">Drives data-residency conversations. Hyperscaler deployment lets clients keep AI inside their cloud.</w:t>
            </w:r>
          </w:p>
        </w:tc>
      </w:tr>
      <w:tr>
        <w:trPr>
          <w:tblHeader w:val="false"/>
        </w:trPr>
        <w:tc>
          <w:tcPr>
            <w:tcW w:type="dxa" w:w="2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Latency</w:t>
            </w:r>
          </w:p>
        </w:tc>
        <w:tc>
          <w:tcPr>
            <w:tcW w:type="dxa" w:w="378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How fast the AI responds.</w:t>
            </w:r>
          </w:p>
        </w:tc>
        <w:tc>
          <w:tcPr>
            <w:tcW w:type="dxa" w:w="358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Matters for real-time workflows: customer chat, phone, live summarization.</w:t>
            </w:r>
          </w:p>
        </w:tc>
      </w:tr>
      <w:tr>
        <w:trPr>
          <w:tblHeader w:val="false"/>
        </w:trPr>
        <w:tc>
          <w:tcPr>
            <w:tcW w:type="dxa" w:w="2000"/>
            <w:tcBorders>
              <w:top w:val="single" w:color="CCCCCC" w:sz="4"/>
              <w:left w:val="single" w:color="CCCCCC" w:sz="4"/>
              <w:bottom w:val="single" w:color="CCCCCC" w:sz="4"/>
              <w:right w:val="single" w:color="CCCCCC" w:sz="4"/>
            </w:tcBorders>
            <w:shd w:fill="F5F8FA" w:val="clear"/>
            <w:tcMar>
              <w:top w:type="dxa" w:w="100"/>
              <w:left w:type="dxa" w:w="140"/>
              <w:bottom w:type="dxa" w:w="100"/>
              <w:right w:type="dxa" w:w="140"/>
            </w:tcMar>
          </w:tcPr>
          <w:p>
            <w:r>
              <w:rPr>
                <w:b w:val="false"/>
                <w:bCs w:val="false"/>
              </w:rPr>
              <w:t xml:space="preserve">SLA / uptime</w:t>
            </w:r>
          </w:p>
        </w:tc>
        <w:tc>
          <w:tcPr>
            <w:tcW w:type="dxa" w:w="3780"/>
            <w:tcBorders>
              <w:top w:val="single" w:color="CCCCCC" w:sz="4"/>
              <w:left w:val="single" w:color="CCCCCC" w:sz="4"/>
              <w:bottom w:val="single" w:color="CCCCCC" w:sz="4"/>
              <w:right w:val="single" w:color="CCCCCC" w:sz="4"/>
            </w:tcBorders>
            <w:shd w:fill="F5F8FA" w:val="clear"/>
            <w:tcMar>
              <w:top w:type="dxa" w:w="100"/>
              <w:left w:type="dxa" w:w="140"/>
              <w:bottom w:type="dxa" w:w="100"/>
              <w:right w:type="dxa" w:w="140"/>
            </w:tcMar>
          </w:tcPr>
          <w:p>
            <w:r>
              <w:rPr>
                <w:b w:val="false"/>
                <w:bCs w:val="false"/>
              </w:rPr>
              <w:t xml:space="preserve">Vendor commitment on availability. Usually 99.9%+ on Enterprise tiers.</w:t>
            </w:r>
          </w:p>
        </w:tc>
        <w:tc>
          <w:tcPr>
            <w:tcW w:type="dxa" w:w="3580"/>
            <w:tcBorders>
              <w:top w:val="single" w:color="CCCCCC" w:sz="4"/>
              <w:left w:val="single" w:color="CCCCCC" w:sz="4"/>
              <w:bottom w:val="single" w:color="CCCCCC" w:sz="4"/>
              <w:right w:val="single" w:color="CCCCCC" w:sz="4"/>
            </w:tcBorders>
            <w:shd w:fill="F5F8FA" w:val="clear"/>
            <w:tcMar>
              <w:top w:type="dxa" w:w="100"/>
              <w:left w:type="dxa" w:w="140"/>
              <w:bottom w:type="dxa" w:w="100"/>
              <w:right w:type="dxa" w:w="140"/>
            </w:tcMar>
          </w:tcPr>
          <w:p>
            <w:r>
              <w:rPr>
                <w:b w:val="false"/>
                <w:bCs w:val="false"/>
              </w:rPr>
              <w:t xml:space="preserve">Include in client-facing managed-service SLAs.</w:t>
            </w:r>
          </w:p>
        </w:tc>
      </w:tr>
    </w:tbl>
    <w:p>
      <w:pPr>
        <w:pStyle w:val="Heading1"/>
      </w:pPr>
      <w:r>
        <w:t xml:space="preserve">15. What Drew Should Do Next — 30 / 60 / 90</w:t>
      </w:r>
    </w:p>
    <w:p>
      <w:pPr>
        <w:spacing w:after="80" w:before="80"/>
      </w:pPr>
      <w:r>
        <w:t xml:space="preserve">A concrete plan, not a wish list. Each horizon has one goal and a small set of actions that make the goal real.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5160"/>
      </w:tblGrid>
      <w:tr>
        <w:trPr>
          <w:tblHeader/>
        </w:trPr>
        <w:tc>
          <w:tcPr>
            <w:tcW w:type="dxa" w:w="1400"/>
            <w:tcBorders>
              <w:top w:val="single" w:color="CCCCCC" w:sz="4"/>
              <w:left w:val="single" w:color="CCCCCC" w:sz="4"/>
              <w:bottom w:val="single" w:color="CCCCCC" w:sz="4"/>
              <w:right w:val="single" w:color="CCCCCC" w:sz="4"/>
            </w:tcBorders>
            <w:shd w:fill="D5E8F0" w:val="clear"/>
            <w:tcMar>
              <w:top w:type="dxa" w:w="100"/>
              <w:left w:type="dxa" w:w="140"/>
              <w:bottom w:type="dxa" w:w="100"/>
              <w:right w:type="dxa" w:w="140"/>
            </w:tcMar>
          </w:tcPr>
          <w:p>
            <w:r>
              <w:rPr>
                <w:b/>
                <w:bCs/>
              </w:rPr>
              <w:t xml:space="preserve">Horizon</w:t>
            </w:r>
          </w:p>
        </w:tc>
        <w:tc>
          <w:tcPr>
            <w:tcW w:type="dxa" w:w="2800"/>
            <w:tcBorders>
              <w:top w:val="single" w:color="CCCCCC" w:sz="4"/>
              <w:left w:val="single" w:color="CCCCCC" w:sz="4"/>
              <w:bottom w:val="single" w:color="CCCCCC" w:sz="4"/>
              <w:right w:val="single" w:color="CCCCCC" w:sz="4"/>
            </w:tcBorders>
            <w:shd w:fill="D5E8F0" w:val="clear"/>
            <w:tcMar>
              <w:top w:type="dxa" w:w="100"/>
              <w:left w:type="dxa" w:w="140"/>
              <w:bottom w:type="dxa" w:w="100"/>
              <w:right w:type="dxa" w:w="140"/>
            </w:tcMar>
          </w:tcPr>
          <w:p>
            <w:r>
              <w:rPr>
                <w:b/>
                <w:bCs/>
              </w:rPr>
              <w:t xml:space="preserve">Goal</w:t>
            </w:r>
          </w:p>
        </w:tc>
        <w:tc>
          <w:tcPr>
            <w:tcW w:type="dxa" w:w="5160"/>
            <w:tcBorders>
              <w:top w:val="single" w:color="CCCCCC" w:sz="4"/>
              <w:left w:val="single" w:color="CCCCCC" w:sz="4"/>
              <w:bottom w:val="single" w:color="CCCCCC" w:sz="4"/>
              <w:right w:val="single" w:color="CCCCCC" w:sz="4"/>
            </w:tcBorders>
            <w:shd w:fill="D5E8F0" w:val="clear"/>
            <w:tcMar>
              <w:top w:type="dxa" w:w="100"/>
              <w:left w:type="dxa" w:w="140"/>
              <w:bottom w:type="dxa" w:w="100"/>
              <w:right w:type="dxa" w:w="140"/>
            </w:tcMar>
          </w:tcPr>
          <w:p>
            <w:r>
              <w:rPr>
                <w:b/>
                <w:bCs/>
              </w:rPr>
              <w:t xml:space="preserve">Actions</w:t>
            </w:r>
          </w:p>
        </w:tc>
      </w:tr>
      <w:tr>
        <w:trPr>
          <w:tblHeader w:val="false"/>
        </w:trPr>
        <w:tc>
          <w:tcPr>
            <w:tcW w:type="dxa" w:w="1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First 30 days</w:t>
            </w:r>
          </w:p>
        </w:tc>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Commit to the offering shape and the primary providers.</w:t>
            </w:r>
          </w:p>
        </w:tc>
        <w:tc>
          <w:tcPr>
            <w:tcW w:type="dxa" w:w="51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Approve this document’s offering catalog. Pick Anthropic + Microsoft as primary (most flexible MSP posture). Draft Katana’s own internal AI Usage Policy. Start the Microsoft CSP application.</w:t>
            </w:r>
          </w:p>
        </w:tc>
      </w:tr>
      <w:tr>
        <w:trPr>
          <w:tblHeader w:val="false"/>
        </w:trPr>
        <w:tc>
          <w:tcPr>
            <w:tcW w:type="dxa" w:w="1400"/>
            <w:tcBorders>
              <w:top w:val="single" w:color="CCCCCC" w:sz="4"/>
              <w:left w:val="single" w:color="CCCCCC" w:sz="4"/>
              <w:bottom w:val="single" w:color="CCCCCC" w:sz="4"/>
              <w:right w:val="single" w:color="CCCCCC" w:sz="4"/>
            </w:tcBorders>
            <w:shd w:fill="F5F8FA" w:val="clear"/>
            <w:tcMar>
              <w:top w:type="dxa" w:w="100"/>
              <w:left w:type="dxa" w:w="140"/>
              <w:bottom w:type="dxa" w:w="100"/>
              <w:right w:type="dxa" w:w="140"/>
            </w:tcMar>
          </w:tcPr>
          <w:p>
            <w:r>
              <w:rPr>
                <w:b w:val="false"/>
                <w:bCs w:val="false"/>
              </w:rPr>
              <w:t xml:space="preserve">Days 30–60</w:t>
            </w:r>
          </w:p>
        </w:tc>
        <w:tc>
          <w:tcPr>
            <w:tcW w:type="dxa" w:w="2800"/>
            <w:tcBorders>
              <w:top w:val="single" w:color="CCCCCC" w:sz="4"/>
              <w:left w:val="single" w:color="CCCCCC" w:sz="4"/>
              <w:bottom w:val="single" w:color="CCCCCC" w:sz="4"/>
              <w:right w:val="single" w:color="CCCCCC" w:sz="4"/>
            </w:tcBorders>
            <w:shd w:fill="F5F8FA" w:val="clear"/>
            <w:tcMar>
              <w:top w:type="dxa" w:w="100"/>
              <w:left w:type="dxa" w:w="140"/>
              <w:bottom w:type="dxa" w:w="100"/>
              <w:right w:type="dxa" w:w="140"/>
            </w:tcMar>
          </w:tcPr>
          <w:p>
            <w:r>
              <w:rPr>
                <w:b w:val="false"/>
                <w:bCs w:val="false"/>
              </w:rPr>
              <w:t xml:space="preserve">Productize the Readiness Assessment and secure reseller channels.</w:t>
            </w:r>
          </w:p>
        </w:tc>
        <w:tc>
          <w:tcPr>
            <w:tcW w:type="dxa" w:w="5160"/>
            <w:tcBorders>
              <w:top w:val="single" w:color="CCCCCC" w:sz="4"/>
              <w:left w:val="single" w:color="CCCCCC" w:sz="4"/>
              <w:bottom w:val="single" w:color="CCCCCC" w:sz="4"/>
              <w:right w:val="single" w:color="CCCCCC" w:sz="4"/>
            </w:tcBorders>
            <w:shd w:fill="F5F8FA" w:val="clear"/>
            <w:tcMar>
              <w:top w:type="dxa" w:w="100"/>
              <w:left w:type="dxa" w:w="140"/>
              <w:bottom w:type="dxa" w:w="100"/>
              <w:right w:type="dxa" w:w="140"/>
            </w:tcMar>
          </w:tcPr>
          <w:p>
            <w:r>
              <w:rPr>
                <w:b w:val="false"/>
                <w:bCs w:val="false"/>
              </w:rPr>
              <w:t xml:space="preserve">Build the Readiness Assessment template (interview guide, scoring rubric, roadmap format). Build the AI Usage Policy boilerplate. Apply to the Anthropic Partner Program. Complete Microsoft CSP onboarding. Build the one-page AI service sheet for the Katana website.</w:t>
            </w:r>
          </w:p>
        </w:tc>
      </w:tr>
      <w:tr>
        <w:trPr>
          <w:tblHeader w:val="false"/>
        </w:trPr>
        <w:tc>
          <w:tcPr>
            <w:tcW w:type="dxa" w:w="1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Days 60–90</w:t>
            </w:r>
          </w:p>
        </w:tc>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Sell and deliver the first paid Readiness Assessment.</w:t>
            </w:r>
          </w:p>
        </w:tc>
        <w:tc>
          <w:tcPr>
            <w:tcW w:type="dxa" w:w="51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Pick the first target client (ideally an existing Katana managed-IT client). Deliver the Readiness Assessment. Convert to Onboarding. Publish the case study internally for sales reuse.</w:t>
            </w:r>
          </w:p>
        </w:tc>
      </w:tr>
    </w:tbl>
    <w:p>
      <w:pPr>
        <w:shd w:fill="E8F4F8" w:val="clear"/>
        <w:spacing w:after="160" w:before="160"/>
        <w:ind w:left="240" w:right="240"/>
      </w:pPr>
      <w:r>
        <w:rPr>
          <w:b/>
          <w:bCs/>
          <w:color w:val="1F4E79"/>
        </w:rPr>
        <w:t xml:space="preserve">The first visible proof this is working: </w:t>
      </w:r>
      <w:r>
        <w:t xml:space="preserve">When Katana closes its first paid Readiness Assessment and walks the client through a 4D-scored report, Drew has a case study, a delivery pattern, and a priced roadmap he can run on every future prospect. Everything else in this document is designed to make that first delivery repeatable.</w:t>
      </w:r>
    </w:p>
    <w:p>
      <w:pPr>
        <w:pStyle w:val="Heading1"/>
      </w:pPr>
      <w:r>
        <w:t xml:space="preserve">Appendix — References and Companion Materials</w:t>
      </w:r>
    </w:p>
    <w:p>
      <w:pPr>
        <w:pStyle w:val="ListParagraph"/>
        <w:numPr>
          <w:ilvl w:val="0"/>
          <w:numId w:val="2"/>
        </w:numPr>
        <w:spacing w:after="40" w:before="40"/>
      </w:pPr>
      <w:r>
        <w:t xml:space="preserve">Anthropic AI Fluency Framework (Dakan &amp; Feller) — https://www.anthropic.com/ai-fluency</w:t>
      </w:r>
    </w:p>
    <w:p>
      <w:pPr>
        <w:pStyle w:val="ListParagraph"/>
        <w:numPr>
          <w:ilvl w:val="0"/>
          <w:numId w:val="2"/>
        </w:numPr>
        <w:spacing w:after="40" w:before="40"/>
      </w:pPr>
      <w:r>
        <w:t xml:space="preserve">Companion briefing with deeper Claude-vs-Copilot stack comparison and Katana internal-AI-use discussion: `Katana-AI-Briefing-v1.docx`.</w:t>
      </w:r>
    </w:p>
    <w:p>
      <w:pPr>
        <w:pStyle w:val="ListParagraph"/>
        <w:numPr>
          <w:ilvl w:val="0"/>
          <w:numId w:val="2"/>
        </w:numPr>
        <w:spacing w:after="40" w:before="40"/>
      </w:pPr>
      <w:r>
        <w:t xml:space="preserve">Earlier meeting brief focused on the five-offer shape (now superseded by Section 4 of this document): `Katana-Client-AI-Offer-Brief-v2.docx`.</w:t>
      </w:r>
    </w:p>
    <w:p>
      <w:pPr>
        <w:pStyle w:val="ListParagraph"/>
        <w:numPr>
          <w:ilvl w:val="0"/>
          <w:numId w:val="2"/>
        </w:numPr>
        <w:spacing w:after="40" w:before="40"/>
      </w:pPr>
      <w:r>
        <w:t xml:space="preserve">Katana engagement memory and open questions: `Katana/memory.md`.</w:t>
      </w:r>
    </w:p>
    <w:p>
      <w:pPr>
        <w:spacing w:after="0" w:before="400"/>
      </w:pPr>
    </w:p>
    <w:p>
      <w:pPr>
        <w:pBdr>
          <w:top w:val="single" w:color="CCCCCC" w:sz="4" w:space="4"/>
        </w:pBdr>
        <w:spacing w:after="40" w:before="200"/>
      </w:pPr>
      <w:r>
        <w:rPr>
          <w:i/>
          <w:iCs/>
          <w:color w:val="595959"/>
          <w:sz w:val="18"/>
          <w:szCs w:val="18"/>
        </w:rPr>
        <w:t xml:space="preserve">Prepared by Mike / Fructify LLC — v3, 2026-04-21.</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120" w:before="0"/>
    </w:pPr>
    <w:rPr>
      <w:rFonts w:ascii="Arial" w:cs="Arial" w:eastAsia="Arial" w:hAnsi="Arial"/>
      <w:b/>
      <w:bCs/>
      <w:color w:val="1F3864"/>
      <w:sz w:val="44"/>
      <w:szCs w:val="44"/>
    </w:rPr>
  </w:style>
  <w:style w:type="paragraph" w:styleId="Heading1">
    <w:name w:val="Heading 1"/>
    <w:basedOn w:val="Normal"/>
    <w:next w:val="Normal"/>
    <w:qFormat/>
    <w:pPr>
      <w:spacing w:after="160" w:before="320"/>
      <w:outlineLvl w:val="0"/>
    </w:pPr>
    <w:rPr>
      <w:rFonts w:ascii="Arial" w:cs="Arial" w:eastAsia="Arial" w:hAnsi="Arial"/>
      <w:b/>
      <w:bCs/>
      <w:color w:val="1F3864"/>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2E75B6"/>
      <w:sz w:val="24"/>
      <w:szCs w:val="24"/>
    </w:rPr>
  </w:style>
  <w:style w:type="paragraph" w:styleId="Heading3">
    <w:name w:val="Heading 3"/>
    <w:basedOn w:val="Normal"/>
    <w:next w:val="Normal"/>
    <w:qFormat/>
    <w:pPr>
      <w:spacing w:after="80" w:before="16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for Katana’s Clients — A Managed-IT Playbook</dc:title>
  <dc:creator>Mike / Fructify LLC</dc:creator>
  <dc:description>Primer for Drew and partners. What Katana’s clients will ask, what Katana should offer, and what Katana needs to know behind the answers.</dc:description>
  <cp:lastModifiedBy>Un-named</cp:lastModifiedBy>
  <cp:revision>1</cp:revision>
  <dcterms:created xsi:type="dcterms:W3CDTF">2026-04-21T15:21:49.211Z</dcterms:created>
  <dcterms:modified xsi:type="dcterms:W3CDTF">2026-04-21T15:21:49.211Z</dcterms:modified>
</cp:coreProperties>
</file>

<file path=docProps/custom.xml><?xml version="1.0" encoding="utf-8"?>
<Properties xmlns="http://schemas.openxmlformats.org/officeDocument/2006/custom-properties" xmlns:vt="http://schemas.openxmlformats.org/officeDocument/2006/docPropsVTypes"/>
</file>