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Katana AI — Client Offer Brief</w:t>
      </w:r>
    </w:p>
    <w:p>
      <w:pPr>
        <w:spacing w:after="60" w:before="0"/>
      </w:pPr>
      <w:r>
        <w:rPr>
          <w:i/>
          <w:iCs/>
          <w:color w:val="595959"/>
          <w:sz w:val="24"/>
          <w:szCs w:val="24"/>
        </w:rPr>
        <w:t xml:space="preserve">What Katana offers its clients, structured around the 4D framework</w:t>
      </w:r>
    </w:p>
    <w:p>
      <w:pPr>
        <w:pBdr>
          <w:bottom w:val="single" w:color="2E75B6" w:sz="8" w:space="6"/>
        </w:pBdr>
        <w:tabs>
          <w:tab w:val="right" w:pos="9360"/>
        </w:tabs>
        <w:spacing w:after="400" w:before="0"/>
      </w:pPr>
      <w:r>
        <w:rPr>
          <w:color w:val="595959"/>
        </w:rPr>
        <w:t xml:space="preserve">Prepared by Mike / Fructify LLC  </w:t>
      </w:r>
      <w:r>
        <w:rPr>
          <w:color w:val="595959"/>
        </w:rPr>
        <w:t xml:space="preserve">	v2 — 2026-04-21</w:t>
      </w:r>
    </w:p>
    <w:p>
      <w:pPr>
        <w:pStyle w:val="Heading1"/>
      </w:pPr>
      <w:r>
        <w:t xml:space="preserve">1. Framing — The Real Question</w:t>
      </w:r>
    </w:p>
    <w:p>
      <w:pPr>
        <w:spacing w:after="80" w:before="80"/>
      </w:pPr>
      <w:r>
        <w:t xml:space="preserve">The question Drew and his partners are coming to this meeting with is not "should we use Copilot or Claude." That is a tooling decision and it lives downstream of the real question.</w:t>
      </w:r>
    </w:p>
    <w:p>
      <w:pPr>
        <w:spacing w:after="80" w:before="80"/>
      </w:pPr>
      <w:r>
        <w:t xml:space="preserve">The real question is: what does Katana offer its clients around AI? What does the client experience look like? What is the assessment, what is the onboarding, what do the ongoing options look like, and how is Katana different from every other MSP that will eventually slap "AI-enabled" on its website?</w:t>
      </w:r>
    </w:p>
    <w:p>
      <w:pPr>
        <w:spacing w:after="80" w:before="80"/>
      </w:pPr>
      <w:r>
        <w:t xml:space="preserve">This brief answers that question using Anthropic’s AI Fluency 4D framework (Delegation, Description, Discernment, Diligence) as the lens. The 4D framework does three jobs at once here: it is a teachable structure for clients, a scoring rubric for Katana’s assessments, and the spine of Katana’s productized service menu.</w:t>
      </w:r>
    </w:p>
    <w:p>
      <w:pPr>
        <w:shd w:fill="E8F4F8" w:val="clear"/>
        <w:spacing w:after="160" w:before="160"/>
        <w:ind w:left="240" w:right="240"/>
      </w:pPr>
      <w:r>
        <w:rPr>
          <w:b/>
          <w:bCs/>
          <w:color w:val="1F4E79"/>
        </w:rPr>
        <w:t xml:space="preserve">The positioning idea in one sentence: </w:t>
      </w:r>
      <w:r>
        <w:t xml:space="preserve">Katana does not sell AI tools — Katana sells the enablement, governance, and ongoing operational discipline that determine whether those tools actually produce value and do not get the client in trouble.</w:t>
      </w:r>
    </w:p>
    <w:p>
      <w:pPr>
        <w:pStyle w:val="Heading1"/>
      </w:pPr>
      <w:r>
        <w:t xml:space="preserve">2. The 4D Framework — A Client-Offer Lens</w:t>
      </w:r>
    </w:p>
    <w:p>
      <w:pPr>
        <w:spacing w:after="80" w:before="80"/>
      </w:pPr>
      <w:r>
        <w:t xml:space="preserve">The 4D framework was published by Anthropic with Rick Dakan and Joseph Feller. It frames AI collaboration as four interconnected competencies. When used as a lens over "what do we sell the client," each D resolves to a specific client question, and each client question resolves to a productized Katana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The D</w:t>
            </w:r>
          </w:p>
        </w:tc>
        <w:tc>
          <w:tcPr>
            <w:tcW w:type="dxa" w:w="393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The client question it answers</w:t>
            </w:r>
          </w:p>
        </w:tc>
        <w:tc>
          <w:tcPr>
            <w:tcW w:type="dxa" w:w="393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Katana sells the client</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Delegation</w:t>
            </w:r>
          </w:p>
        </w:tc>
        <w:tc>
          <w:tcPr>
            <w:tcW w:type="dxa" w:w="393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"Where should we actually be using AI — and where shouldn’t we?"</w:t>
            </w:r>
          </w:p>
        </w:tc>
        <w:tc>
          <w:tcPr>
            <w:tcW w:type="dxa" w:w="393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Readiness Assessment — fixed-scope audit that names which tasks, roles, and workflows are AI-ready.</w:t>
            </w:r>
          </w:p>
        </w:tc>
      </w:tr>
      <w:tr>
        <w:trPr>
          <w:tblHeader w:val="false"/>
        </w:trPr>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Description</w:t>
            </w:r>
          </w:p>
        </w:tc>
        <w:tc>
          <w:tcPr>
            <w:tcW w:type="dxa" w:w="393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"Our people don’t know how to talk to AI. How do we get consistent results?"</w:t>
            </w:r>
          </w:p>
        </w:tc>
        <w:tc>
          <w:tcPr>
            <w:tcW w:type="dxa" w:w="393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Onboarding + Enablement — role-specific prompt libraries, training, productized use cases.</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Discernment</w:t>
            </w:r>
          </w:p>
        </w:tc>
        <w:tc>
          <w:tcPr>
            <w:tcW w:type="dxa" w:w="393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"How do we know the AI output is right — and who catches it when it isn’t?"</w:t>
            </w:r>
          </w:p>
        </w:tc>
        <w:tc>
          <w:tcPr>
            <w:tcW w:type="dxa" w:w="393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Quality &amp; Review Program — human-in-the-loop checkpoints, QA checklists, comparison workflows.</w:t>
            </w:r>
          </w:p>
        </w:tc>
      </w:tr>
      <w:tr>
        <w:trPr>
          <w:tblHeader w:val="false"/>
        </w:trPr>
        <w:tc>
          <w:tcPr>
            <w:tcW w:type="dxa" w:w="1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Diligence</w:t>
            </w:r>
          </w:p>
        </w:tc>
        <w:tc>
          <w:tcPr>
            <w:tcW w:type="dxa" w:w="393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"What are the rules, the risks, and who is accountable if something goes wrong?"</w:t>
            </w:r>
          </w:p>
        </w:tc>
        <w:tc>
          <w:tcPr>
            <w:tcW w:type="dxa" w:w="393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Governance Program — usage policy, DLP, audit logging, vendor review, compliance mapping.</w:t>
            </w:r>
          </w:p>
        </w:tc>
      </w:tr>
    </w:tbl>
    <w:p>
      <w:pPr>
        <w:shd w:fill="E8F4F8" w:val="clear"/>
        <w:spacing w:after="160" w:before="160"/>
        <w:ind w:left="240" w:right="240"/>
      </w:pPr>
      <w:r>
        <w:rPr>
          <w:b/>
          <w:bCs/>
          <w:color w:val="1F4E79"/>
        </w:rPr>
        <w:t xml:space="preserve">Why this works as a sales structure: </w:t>
      </w:r>
      <w:r>
        <w:t xml:space="preserve">Prospects rarely walk in asking "help me with Delegation." They walk in saying "I don’t know where to start," "my people don’t prompt well," "I don’t trust the output," or "I’m scared of the risk." The 4D gives Katana a clean, non-vendor-specific way to receive any of those four complaints and route them into a named service.</w:t>
      </w:r>
    </w:p>
    <w:p>
      <w:pPr>
        <w:pStyle w:val="Heading1"/>
      </w:pPr>
      <w:r>
        <w:t xml:space="preserve">3. How Clients Will Arrive</w:t>
      </w:r>
    </w:p>
    <w:p>
      <w:pPr>
        <w:spacing w:after="80" w:before="80"/>
      </w:pPr>
      <w:r>
        <w:t xml:space="preserve">Katana’s first clients will not all look the same. They will arrive with one of three postures — and the first move in the client conversation is to identify which one. The posture determines which D to lead with, which means it determines the first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Client posture</w:t>
            </w:r>
          </w:p>
        </w:tc>
        <w:tc>
          <w:tcPr>
            <w:tcW w:type="dxa" w:w="37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they’re thinking</w:t>
            </w:r>
          </w:p>
        </w:tc>
        <w:tc>
          <w:tcPr>
            <w:tcW w:type="dxa" w:w="37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How Katana leads the conversation</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AI-curious</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 hear I should be doing this but I don’t know where to start."</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Start at Delegation. Assessment first. No tool commitment until the map is built.</w:t>
            </w:r>
          </w:p>
        </w:tc>
      </w:tr>
      <w:tr>
        <w:trPr>
          <w:tblHeader w:val="false"/>
        </w:trPr>
        <w:tc>
          <w:tcPr>
            <w:tcW w:type="dxa" w:w="18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AI-anxious</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"My people are already using ChatGPT with our data and I can’t sleep."</w:t>
            </w:r>
          </w:p>
        </w:tc>
        <w:tc>
          <w:tcPr>
            <w:tcW w:type="dxa" w:w="37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Start at Diligence. Usage Policy + DLP posture in the first 30 days. Then Assessment.</w:t>
            </w:r>
          </w:p>
        </w:tc>
      </w:tr>
      <w:tr>
        <w:trPr>
          <w:tblHeader w:val="false"/>
        </w:trP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AI-ambitious</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"We want to run ahead of competitors — agents, automation, the works."</w:t>
            </w:r>
          </w:p>
        </w:tc>
        <w:tc>
          <w:tcPr>
            <w:tcW w:type="dxa" w:w="37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Full 4D engagement. Assessment + Enablement + Governance + Managed AI Ops.</w:t>
            </w:r>
          </w:p>
        </w:tc>
      </w:tr>
    </w:tbl>
    <w:p>
      <w:pPr>
        <w:spacing w:after="80" w:before="80"/>
      </w:pPr>
      <w:r>
        <w:t xml:space="preserve">A client can be in more than one posture at once, but there is almost always a dominant one. Naming the dominant posture in the first call is the single most valuable thing Katana can do to differentiate itself — it signals that Katana has a method, not just a toolbox.</w:t>
      </w:r>
    </w:p>
    <w:p>
      <w:pPr>
        <w:pStyle w:val="Heading1"/>
      </w:pPr>
      <w:r>
        <w:t xml:space="preserve">4. The Katana AI Service Menu</w:t>
      </w:r>
    </w:p>
    <w:p>
      <w:pPr>
        <w:spacing w:after="80" w:before="80"/>
      </w:pPr>
      <w:r>
        <w:t xml:space="preserve">Five offerings. Each maps to one or more Ds. Together they form a natural progression — a client can enter at Assessment and escalate up the menu, or jump directly into Governance or Managed AI Ops if their posture demands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60"/>
        <w:gridCol w:w="1700"/>
        <w:gridCol w:w="2000"/>
        <w:gridCol w:w="3300"/>
      </w:tblGrid>
      <w:tr>
        <w:trPr>
          <w:tblHeader/>
        </w:trPr>
        <w:tc>
          <w:tcPr>
            <w:tcW w:type="dxa" w:w="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t>
            </w:r>
          </w:p>
        </w:tc>
        <w:tc>
          <w:tcPr>
            <w:tcW w:type="dxa" w:w="1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Offer</w:t>
            </w:r>
          </w:p>
        </w:tc>
        <w:tc>
          <w:tcPr>
            <w:tcW w:type="dxa" w:w="17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Shape</w:t>
            </w:r>
          </w:p>
        </w:tc>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4D anchor</w:t>
            </w:r>
          </w:p>
        </w:tc>
        <w:tc>
          <w:tcPr>
            <w:tcW w:type="dxa" w:w="33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the client gets</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Readiness Assessment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2 weeks, fixed price, one-time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Delegation (primary) + all Ds scored</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Scored report, prioritized task/role map, 90-day roadmap. The wedge offer.</w:t>
            </w:r>
          </w:p>
        </w:tc>
      </w:tr>
      <w:tr>
        <w:trPr>
          <w:tblHeader w:val="false"/>
        </w:trPr>
        <w:tc>
          <w:tcPr>
            <w:tcW w:type="dxa" w:w="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2</w:t>
            </w:r>
          </w:p>
        </w:tc>
        <w:tc>
          <w:tcPr>
            <w:tcW w:type="dxa" w:w="1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Onboarding</w:t>
            </w:r>
          </w:p>
        </w:tc>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30–60 days, fixed price</w:t>
            </w:r>
          </w:p>
        </w:tc>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Delegation + Description</w:t>
            </w:r>
          </w:p>
        </w:tc>
        <w:tc>
          <w:tcPr>
            <w:tcW w:type="dxa" w:w="33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Tool selection, tenant setup, 1–3 use cases live, baseline policy, role-based training.</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3</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AI Enablement Program</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Monthly retainer</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Description + Discernment</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Prompt library curation, quarterly role training, new use-case rollouts, "AI concierge" hours.</w:t>
            </w:r>
          </w:p>
        </w:tc>
      </w:tr>
      <w:tr>
        <w:trPr>
          <w:tblHeader w:val="false"/>
        </w:trPr>
        <w:tc>
          <w:tcPr>
            <w:tcW w:type="dxa" w:w="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4</w:t>
            </w:r>
          </w:p>
        </w:tc>
        <w:tc>
          <w:tcPr>
            <w:tcW w:type="dxa" w:w="19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AI Governance Program</w:t>
            </w:r>
          </w:p>
        </w:tc>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Monthly retainer or quarterly</w:t>
            </w:r>
          </w:p>
        </w:tc>
        <w:tc>
          <w:tcPr>
            <w:tcW w:type="dxa" w:w="20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Diligence (primary)</w:t>
            </w:r>
          </w:p>
        </w:tc>
        <w:tc>
          <w:tcPr>
            <w:tcW w:type="dxa" w:w="33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Living usage policy, DLP/audit posture, vendor review, compliance mapping (HIPAA/PCI/SOC 2), incident response.</w:t>
            </w:r>
          </w:p>
        </w:tc>
      </w:tr>
      <w:tr>
        <w:trPr>
          <w:tblHeader w:val="false"/>
        </w:trPr>
        <w:tc>
          <w:tcPr>
            <w:tcW w:type="dxa" w:w="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5</w:t>
            </w:r>
          </w:p>
        </w:tc>
        <w:tc>
          <w:tcPr>
            <w:tcW w:type="dxa" w:w="19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Managed AI Operations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Monthly retainer (bundled)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All four Ds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Everything above bundled as a line item in the monthly MSP invoice. The MRR story.</w:t>
            </w:r>
          </w:p>
        </w:tc>
      </w:tr>
    </w:tbl>
    <w:p>
      <w:pPr>
        <w:pStyle w:val="Heading2"/>
      </w:pPr>
      <w:r>
        <w:t xml:space="preserve">4.1 The AI Readiness Assessment — the wedge offer</w:t>
      </w:r>
    </w:p>
    <w:p>
      <w:pPr>
        <w:spacing w:after="80" w:before="80"/>
      </w:pPr>
      <w:r>
        <w:t xml:space="preserve">The Assessment is the first thing every new client buys. It is two weeks, fixed-scope, fixed-price, and it ends with a scored 4D report and a 90-day roadmap. It is the wedge because it produces a signed roadmap that sells everything else Katana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500"/>
        <w:gridCol w:w="3260"/>
      </w:tblGrid>
      <w:tr>
        <w:trPr>
          <w:tblHeader/>
        </w:trPr>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Phase</w:t>
            </w:r>
          </w:p>
        </w:tc>
        <w:tc>
          <w:tcPr>
            <w:tcW w:type="dxa" w:w="1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Duration</w:t>
            </w:r>
          </w:p>
        </w:tc>
        <w:tc>
          <w:tcPr>
            <w:tcW w:type="dxa" w:w="3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Activities</w:t>
            </w:r>
          </w:p>
        </w:tc>
        <w:tc>
          <w:tcPr>
            <w:tcW w:type="dxa" w:w="32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Output</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Kickoff</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Day 1</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Stakeholder interview, data-sensitivity intake, current-state inventory of AI use.</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Scoping confirmation.</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Discovery</w:t>
            </w:r>
          </w:p>
        </w:tc>
        <w:tc>
          <w:tcPr>
            <w:tcW w:type="dxa" w:w="12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Days 2–7</w:t>
            </w:r>
          </w:p>
        </w:tc>
        <w:tc>
          <w:tcPr>
            <w:tcW w:type="dxa" w:w="3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Role-by-role interviews, workflow mapping, tool and license inventory, shadow-AI audit.</w:t>
            </w:r>
          </w:p>
        </w:tc>
        <w:tc>
          <w:tcPr>
            <w:tcW w:type="dxa" w:w="32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Raw findings pack.</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Scoring</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Days 8–10</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4D scoring using Katana’s rubric. Gap analysis. Risk register.</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Scored 4D report (draft).</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Roadmap</w:t>
            </w:r>
          </w:p>
        </w:tc>
        <w:tc>
          <w:tcPr>
            <w:tcW w:type="dxa" w:w="12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Days 11–13</w:t>
            </w:r>
          </w:p>
        </w:tc>
        <w:tc>
          <w:tcPr>
            <w:tcW w:type="dxa" w:w="3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Prioritize by ROI and risk. Sequence quick wins, policy, pilots, training.</w:t>
            </w:r>
          </w:p>
        </w:tc>
        <w:tc>
          <w:tcPr>
            <w:tcW w:type="dxa" w:w="32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90-day roadmap with priced options.</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Readout</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Day 14</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Stakeholder presentation. Q&amp;A. Go/no-go on roadmap.</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Signed roadmap + first SOW option.</w:t>
            </w:r>
          </w:p>
        </w:tc>
      </w:tr>
    </w:tbl>
    <w:p>
      <w:pPr>
        <w:spacing w:after="40" w:before="120"/>
      </w:pPr>
      <w:r>
        <w:rPr>
          <w:b/>
          <w:bCs/>
        </w:rPr>
        <w:t xml:space="preserve">Why this offer matters more than any other</w:t>
      </w:r>
    </w:p>
    <w:p>
      <w:pPr>
        <w:pStyle w:val="ListParagraph"/>
        <w:numPr>
          <w:ilvl w:val="0"/>
          <w:numId w:val="2"/>
        </w:numPr>
        <w:spacing w:after="40" w:before="40"/>
      </w:pPr>
      <w:r>
        <w:t xml:space="preserve">It forces a formal contract on day one. No "let’s just poke around." Scope is fixed, price is fixed, deliverable is fixed.</w:t>
      </w:r>
    </w:p>
    <w:p>
      <w:pPr>
        <w:pStyle w:val="ListParagraph"/>
        <w:numPr>
          <w:ilvl w:val="0"/>
          <w:numId w:val="2"/>
        </w:numPr>
        <w:spacing w:after="40" w:before="40"/>
      </w:pPr>
      <w:r>
        <w:t xml:space="preserve">It creates an artifact the client can show to their board, their insurer, or their regulator — "we have an AI posture."</w:t>
      </w:r>
    </w:p>
    <w:p>
      <w:pPr>
        <w:pStyle w:val="ListParagraph"/>
        <w:numPr>
          <w:ilvl w:val="0"/>
          <w:numId w:val="2"/>
        </w:numPr>
        <w:spacing w:after="40" w:before="40"/>
      </w:pPr>
      <w:r>
        <w:t xml:space="preserve">The 4D score is a recurring product — Katana can re-run it quarterly or annually as a governance ritual, and each re-scoring reveals new work to sell.</w:t>
      </w:r>
    </w:p>
    <w:p>
      <w:pPr>
        <w:pStyle w:val="ListParagraph"/>
        <w:numPr>
          <w:ilvl w:val="0"/>
          <w:numId w:val="2"/>
        </w:numPr>
        <w:spacing w:after="40" w:before="40"/>
      </w:pPr>
      <w:r>
        <w:t xml:space="preserve">It short-circuits the "just give me ChatGPT" impulse that gets SMB clients in trouble.</w:t>
      </w:r>
    </w:p>
    <w:p>
      <w:pPr>
        <w:pStyle w:val="Heading2"/>
      </w:pPr>
      <w:r>
        <w:t xml:space="preserve">4.2 AI Onboarding — from roadmap to results</w:t>
      </w:r>
    </w:p>
    <w:p>
      <w:pPr>
        <w:spacing w:after="80" w:before="80"/>
      </w:pPr>
      <w:r>
        <w:t xml:space="preserve">The Onboarding engagement takes the top 1–3 priorities off the Readiness Roadmap and makes them real in 30–60 days. Tool selection, tenant setup, role-based training for the pilot group, and a baseline AI Usage Policy. At the end, the client has AI in the hands of real humans with real guardrails — not a PowerPoint.</w:t>
      </w:r>
    </w:p>
    <w:p>
      <w:pPr>
        <w:pStyle w:val="Heading2"/>
      </w:pPr>
      <w:r>
        <w:t xml:space="preserve">4.3 AI Enablement Program — why it becomes a retainer</w:t>
      </w:r>
    </w:p>
    <w:p>
      <w:pPr>
        <w:spacing w:after="80" w:before="80"/>
      </w:pPr>
      <w:r>
        <w:t xml:space="preserve">Enablement is the Description discipline turned into a service. Prompts rot. Roles change. New models ship. Most clients cannot keep up on their own and will drift back into ad-hoc chaos. Katana charges a monthly retainer to keep their prompt library curated, run quarterly role refreshers, and onboard new use cases as the business evolves.</w:t>
      </w:r>
    </w:p>
    <w:p>
      <w:pPr>
        <w:pStyle w:val="Heading2"/>
      </w:pPr>
      <w:r>
        <w:t xml:space="preserve">4.4 AI Governance Program — the Diligence moat</w:t>
      </w:r>
    </w:p>
    <w:p>
      <w:pPr>
        <w:spacing w:after="80" w:before="80"/>
      </w:pPr>
      <w:r>
        <w:t xml:space="preserve">Governance is where Katana wins against lighter-weight competitors. The program is anchored by a living AI Usage Policy, DLP posture, audit trail review, vendor/model risk review, and compliance mapping (HIPAA, PCI, SOC 2, state data laws). For regulated clients, Governance is not a nice-to-have — it is table stakes, and most MSPs have nothing to sell them here.</w:t>
      </w:r>
    </w:p>
    <w:p>
      <w:pPr>
        <w:pStyle w:val="Heading2"/>
      </w:pPr>
      <w:r>
        <w:t xml:space="preserve">4.5 Managed AI Operations — the MRR story</w:t>
      </w:r>
    </w:p>
    <w:p>
      <w:pPr>
        <w:spacing w:after="80" w:before="80"/>
      </w:pPr>
      <w:r>
        <w:t xml:space="preserve">The top-tier bundle. Katana rolls Assessment refresh, Enablement, Governance, and incident response into a monthly managed AI line item on the MSP invoice. This is the offering that turns AI from a project into recurring revenue, and it is the profile Katana will want for anchor mid-market accounts.</w:t>
      </w:r>
    </w:p>
    <w:p>
      <w:pPr>
        <w:pStyle w:val="Heading1"/>
      </w:pPr>
      <w:r>
        <w:t xml:space="preserve">5. Client Tiers — Matching Offers to Maturity</w:t>
      </w:r>
    </w:p>
    <w:p>
      <w:pPr>
        <w:spacing w:after="80" w:before="80"/>
      </w:pPr>
      <w:r>
        <w:t xml:space="preserve">Not every client will buy every offer. The tier model below matches the depth of engagement to where the client actually is, so Katana’s sales motion does not try to sell a Managed AI Ops retainer to a 15-person accounting firm or a single training session to a 300-person regulated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900"/>
        <w:gridCol w:w="2260"/>
      </w:tblGrid>
      <w:tr>
        <w:trPr>
          <w:tblHeader/>
        </w:trPr>
        <w:tc>
          <w:tcPr>
            <w:tcW w:type="dxa" w:w="17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Tier</w:t>
            </w:r>
          </w:p>
        </w:tc>
        <w:tc>
          <w:tcPr>
            <w:tcW w:type="dxa" w:w="2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Who they are</w:t>
            </w:r>
          </w:p>
        </w:tc>
        <w:tc>
          <w:tcPr>
            <w:tcW w:type="dxa" w:w="29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Onboarding experience</w:t>
            </w:r>
          </w:p>
        </w:tc>
        <w:tc>
          <w:tcPr>
            <w:tcW w:type="dxa" w:w="22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they buy first</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Tier 1 — AI-naive SMB</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10–50 employees. Owner runs IT. No written AI posture.</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Kickoff call → Lightweight Assessment (3–5 days) → Baseline Policy + 60-minute training → one starter use case.</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Bundled into managed IT plan OR a small one-time Onboarding engagement.</w:t>
            </w:r>
          </w:p>
        </w:tc>
      </w:tr>
      <w:tr>
        <w:trPr>
          <w:tblHeader w:val="false"/>
        </w:trPr>
        <w:tc>
          <w:tcPr>
            <w:tcW w:type="dxa" w:w="17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Tier 2 — Mixed</w:t>
            </w:r>
          </w:p>
        </w:tc>
        <w:tc>
          <w:tcPr>
            <w:tcW w:type="dxa" w:w="25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SMB-to-mid-market. Some shadow AI already in use. Anxiety present.</w:t>
            </w:r>
          </w:p>
        </w:tc>
        <w:tc>
          <w:tcPr>
            <w:tcW w:type="dxa" w:w="29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Full Readiness Assessment → Governance quick-wins → 2–3 productized use cases → role-based training.</w:t>
            </w:r>
          </w:p>
        </w:tc>
        <w:tc>
          <w:tcPr>
            <w:tcW w:type="dxa" w:w="226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Assessment + Onboarding, with Governance retainer recommended.</w:t>
            </w:r>
          </w:p>
        </w:tc>
      </w:tr>
      <w:tr>
        <w:trPr>
          <w:tblHeader w:val="false"/>
        </w:trPr>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Tier 3 — Tech-savvy mid-market</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50–500 employees. Internal IT lead. Compliance posture matters.</w:t>
            </w:r>
          </w:p>
        </w:tc>
        <w:tc>
          <w:tcPr>
            <w:tcW w:type="dxa" w:w="2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Full 4D engagement → Assessment → Governance → Enablement program → agents/integrations.</w:t>
            </w:r>
          </w:p>
        </w:tc>
        <w:tc>
          <w:tcPr>
            <w:tcW w:type="dxa" w:w="22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Managed AI Operations retainer. This is the anchor account profile.</w:t>
            </w:r>
          </w:p>
        </w:tc>
      </w:tr>
    </w:tbl>
    <w:p>
      <w:pPr>
        <w:shd w:fill="E8F4F8" w:val="clear"/>
        <w:spacing w:after="160" w:before="160"/>
        <w:ind w:left="240" w:right="240"/>
      </w:pPr>
      <w:r>
        <w:rPr>
          <w:b/>
          <w:bCs/>
          <w:color w:val="1F4E79"/>
        </w:rPr>
        <w:t xml:space="preserve">Tier signal to listen for: </w:t>
      </w:r>
      <w:r>
        <w:t xml:space="preserve">If the prospect says "we haven’t written anything down yet" — Tier 1. If they say "my team is using ChatGPT and I don’t know what they are pasting in" — Tier 2. If they say "we need governance before we expand this across the org" — Tier 3.</w:t>
      </w:r>
    </w:p>
    <w:p>
      <w:pPr>
        <w:pStyle w:val="Heading1"/>
      </w:pPr>
      <w:r>
        <w:t xml:space="preserve">6. What the First Client Conversation Looks Like</w:t>
      </w:r>
    </w:p>
    <w:p>
      <w:pPr>
        <w:spacing w:after="80" w:before="80"/>
      </w:pPr>
      <w:r>
        <w:t xml:space="preserve">This is the shape of Katana’s discovery call — and the thing that will make prospects say "these folks have a method." Each D becomes a line of questioning. Each line of questioning surfaces the signals that determine which offer to lead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The D</w:t>
            </w:r>
          </w:p>
        </w:tc>
        <w:tc>
          <w:tcPr>
            <w:tcW w:type="dxa" w:w="39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What Katana is listening for</w:t>
            </w:r>
          </w:p>
        </w:tc>
        <w:tc>
          <w:tcPr>
            <w:tcW w:type="dxa" w:w="39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Sample discovery question</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Delegation</w:t>
            </w:r>
          </w:p>
        </w:tc>
        <w:tc>
          <w:tcPr>
            <w:tcW w:type="dxa" w:w="3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Where are the repetitive, high-volume, low-judgment tasks? Where is human judgment non-negotiable?</w:t>
            </w:r>
          </w:p>
        </w:tc>
        <w:tc>
          <w:tcPr>
            <w:tcW w:type="dxa" w:w="3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"Walk me through a typical week for your highest-paid people — what would you love to take off their plate?"</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Description</w:t>
            </w:r>
          </w:p>
        </w:tc>
        <w:tc>
          <w:tcPr>
            <w:tcW w:type="dxa" w:w="39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Is anyone already prompting? Are there shared practices, or is it folklore?</w:t>
            </w:r>
          </w:p>
        </w:tc>
        <w:tc>
          <w:tcPr>
            <w:tcW w:type="dxa" w:w="39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"If I sat with your team for an hour, would I see ten different ways of asking AI the same thing?"</w:t>
            </w:r>
          </w:p>
        </w:tc>
      </w:tr>
      <w:tr>
        <w:trPr>
          <w:tblHeader w:val="false"/>
        </w:trPr>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Discernment</w:t>
            </w:r>
          </w:p>
        </w:tc>
        <w:tc>
          <w:tcPr>
            <w:tcW w:type="dxa" w:w="3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Do they trust the output? Has anyone been burned? How do they verify anything today?</w:t>
            </w:r>
          </w:p>
        </w:tc>
        <w:tc>
          <w:tcPr>
            <w:tcW w:type="dxa" w:w="39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"Has your team ever sent something out that turned out to be wrong because the AI said so?"</w:t>
            </w:r>
          </w:p>
        </w:tc>
      </w:tr>
      <w:tr>
        <w:trPr>
          <w:tblHeader w:val="false"/>
        </w:trPr>
        <w:tc>
          <w:tcPr>
            <w:tcW w:type="dxa" w:w="140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Diligence</w:t>
            </w:r>
          </w:p>
        </w:tc>
        <w:tc>
          <w:tcPr>
            <w:tcW w:type="dxa" w:w="39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Written policy? Who owns it? Any regulatory exposure? Data sensitivity?</w:t>
            </w:r>
          </w:p>
        </w:tc>
        <w:tc>
          <w:tcPr>
            <w:tcW w:type="dxa" w:w="3980"/>
            <w:tcBorders>
              <w:top w:val="single" w:color="CCCCCC" w:sz="4"/>
              <w:left w:val="single" w:color="CCCCCC" w:sz="4"/>
              <w:bottom w:val="single" w:color="CCCCCC" w:sz="4"/>
              <w:right w:val="single" w:color="CCCCCC" w:sz="4"/>
            </w:tcBorders>
            <w:shd w:fill="F5F8FA" w:val="clear"/>
            <w:tcMar>
              <w:top w:type="dxa" w:w="100"/>
              <w:left w:type="dxa" w:w="140"/>
              <w:bottom w:type="dxa" w:w="100"/>
              <w:right w:type="dxa" w:w="140"/>
            </w:tcMar>
          </w:tcPr>
          <w:p>
            <w:r>
              <w:rPr>
                <w:b w:val="false"/>
                <w:bCs w:val="false"/>
              </w:rPr>
              <w:t xml:space="preserve">"If an employee pasted a client contract into ChatGPT tomorrow, what would happen — and who would know?"</w:t>
            </w:r>
          </w:p>
        </w:tc>
      </w:tr>
    </w:tbl>
    <w:p>
      <w:pPr>
        <w:spacing w:after="80" w:before="80"/>
      </w:pPr>
      <w:r>
        <w:t xml:space="preserve">The output of a first conversation — even before any paid engagement — is a one-page "4D snapshot" Katana leaves behind. That snapshot positions the Readiness Assessment as the obvious next step, because the snapshot is literally the first page of the Assessment report.</w:t>
      </w:r>
    </w:p>
    <w:p>
      <w:pPr>
        <w:pStyle w:val="Heading1"/>
      </w:pPr>
      <w:r>
        <w:t xml:space="preserve">7. Why This Menu Makes Katana Different</w:t>
      </w:r>
    </w:p>
    <w:p>
      <w:pPr>
        <w:spacing w:after="40" w:before="120"/>
      </w:pPr>
      <w:r>
        <w:rPr>
          <w:b/>
          <w:bCs/>
        </w:rPr>
        <w:t xml:space="preserve">Vendor-neutral by design</w:t>
      </w:r>
    </w:p>
    <w:p>
      <w:pPr>
        <w:spacing w:after="80" w:before="80"/>
      </w:pPr>
      <w:r>
        <w:t xml:space="preserve">The 4D framework is not "Copilot training" or "Claude enablement." The tool conversation happens after Delegation is answered. That lets Katana serve any client, on any stack, without being locked into a single vendor narrative.</w:t>
      </w:r>
    </w:p>
    <w:p>
      <w:pPr>
        <w:spacing w:after="40" w:before="120"/>
      </w:pPr>
      <w:r>
        <w:rPr>
          <w:b/>
          <w:bCs/>
        </w:rPr>
        <w:t xml:space="preserve">Productized, not consulting</w:t>
      </w:r>
    </w:p>
    <w:p>
      <w:pPr>
        <w:spacing w:after="80" w:before="80"/>
      </w:pPr>
      <w:r>
        <w:t xml:space="preserve">Every offer has a shape, a price, and a deliverable. Clients know what they are buying. Katana’s engineers know what they are delivering. Margins are predictable.</w:t>
      </w:r>
    </w:p>
    <w:p>
      <w:pPr>
        <w:spacing w:after="40" w:before="120"/>
      </w:pPr>
      <w:r>
        <w:rPr>
          <w:b/>
          <w:bCs/>
        </w:rPr>
        <w:t xml:space="preserve">Recurring-revenue spine</w:t>
      </w:r>
    </w:p>
    <w:p>
      <w:pPr>
        <w:spacing w:after="80" w:before="80"/>
      </w:pPr>
      <w:r>
        <w:t xml:space="preserve">Three of the five offers are retainers. Governance and Enablement are monthly. Managed AI Ops is a bundled MRR line. This is not project work — it is a managed service with an AI wrapper.</w:t>
      </w:r>
    </w:p>
    <w:p>
      <w:pPr>
        <w:spacing w:after="40" w:before="120"/>
      </w:pPr>
      <w:r>
        <w:rPr>
          <w:b/>
          <w:bCs/>
        </w:rPr>
        <w:t xml:space="preserve">Governance is a moat</w:t>
      </w:r>
    </w:p>
    <w:p>
      <w:pPr>
        <w:spacing w:after="80" w:before="80"/>
      </w:pPr>
      <w:r>
        <w:t xml:space="preserve">Most MSPs have nothing to sell a compliance-sensitive client in the AI conversation. Katana’s Governance Program answers the question that is actually keeping mid-market decision-makers up at night. That is where the anchor accounts live.</w:t>
      </w:r>
    </w:p>
    <w:p>
      <w:pPr>
        <w:pStyle w:val="Heading1"/>
      </w:pPr>
      <w:r>
        <w:t xml:space="preserve">8. Questions for Drew and Partners</w:t>
      </w:r>
    </w:p>
    <w:p>
      <w:pPr>
        <w:spacing w:after="40" w:before="120"/>
      </w:pPr>
      <w:r>
        <w:rPr>
          <w:b/>
          <w:bCs/>
        </w:rPr>
        <w:t xml:space="preserve">About the offer</w:t>
      </w:r>
    </w:p>
    <w:p>
      <w:pPr>
        <w:pStyle w:val="ListParagraph"/>
        <w:numPr>
          <w:ilvl w:val="0"/>
          <w:numId w:val="2"/>
        </w:numPr>
        <w:spacing w:after="40" w:before="40"/>
      </w:pPr>
      <w:r>
        <w:t xml:space="preserve">Does the 4D structure feel right — or is there a different lens the partners want to lead with?</w:t>
      </w:r>
    </w:p>
    <w:p>
      <w:pPr>
        <w:pStyle w:val="ListParagraph"/>
        <w:numPr>
          <w:ilvl w:val="0"/>
          <w:numId w:val="2"/>
        </w:numPr>
        <w:spacing w:after="40" w:before="40"/>
      </w:pPr>
      <w:r>
        <w:t xml:space="preserve">Of the five offers, which one is Katana willing to commit to as the wedge? (Recommendation: Readiness Assessment.)</w:t>
      </w:r>
    </w:p>
    <w:p>
      <w:pPr>
        <w:pStyle w:val="ListParagraph"/>
        <w:numPr>
          <w:ilvl w:val="0"/>
          <w:numId w:val="2"/>
        </w:numPr>
        <w:spacing w:after="40" w:before="40"/>
      </w:pPr>
      <w:r>
        <w:t xml:space="preserve">Who on the founding team owns the AI offering — product-wise and commercially?</w:t>
      </w:r>
    </w:p>
    <w:p>
      <w:pPr>
        <w:spacing w:after="40" w:before="120"/>
      </w:pPr>
      <w:r>
        <w:rPr>
          <w:b/>
          <w:bCs/>
        </w:rPr>
        <w:t xml:space="preserve">About the clients</w:t>
      </w:r>
    </w:p>
    <w:p>
      <w:pPr>
        <w:pStyle w:val="ListParagraph"/>
        <w:numPr>
          <w:ilvl w:val="0"/>
          <w:numId w:val="2"/>
        </w:numPr>
        <w:spacing w:after="40" w:before="40"/>
      </w:pPr>
      <w:r>
        <w:t xml:space="preserve">Which verticals are the first 5–10 clients likely to come from? That drives which Diligence templates Katana builds first.</w:t>
      </w:r>
    </w:p>
    <w:p>
      <w:pPr>
        <w:pStyle w:val="ListParagraph"/>
        <w:numPr>
          <w:ilvl w:val="0"/>
          <w:numId w:val="2"/>
        </w:numPr>
        <w:spacing w:after="40" w:before="40"/>
      </w:pPr>
      <w:r>
        <w:t xml:space="preserve">What postures are those prospects actually in — curious, anxious, ambitious? That drives the first offer to put in front of them.</w:t>
      </w:r>
    </w:p>
    <w:p>
      <w:pPr>
        <w:pStyle w:val="ListParagraph"/>
        <w:numPr>
          <w:ilvl w:val="0"/>
          <w:numId w:val="2"/>
        </w:numPr>
        <w:spacing w:after="40" w:before="40"/>
      </w:pPr>
      <w:r>
        <w:t xml:space="preserve">Is anyone already signed or in the pipeline that we could tailor the first Readiness Assessment toward?</w:t>
      </w:r>
    </w:p>
    <w:p>
      <w:pPr>
        <w:spacing w:after="40" w:before="120"/>
      </w:pPr>
      <w:r>
        <w:rPr>
          <w:b/>
          <w:bCs/>
        </w:rPr>
        <w:t xml:space="preserve">About the shape of the business</w:t>
      </w:r>
    </w:p>
    <w:p>
      <w:pPr>
        <w:pStyle w:val="ListParagraph"/>
        <w:numPr>
          <w:ilvl w:val="0"/>
          <w:numId w:val="2"/>
        </w:numPr>
        <w:spacing w:after="40" w:before="40"/>
      </w:pPr>
      <w:r>
        <w:t xml:space="preserve">Is AI going to be packaged as its own tier (Essentials / Advanced / AI-Ready) or an a-la-carte add-on to any plan?</w:t>
      </w:r>
    </w:p>
    <w:p>
      <w:pPr>
        <w:pStyle w:val="ListParagraph"/>
        <w:numPr>
          <w:ilvl w:val="0"/>
          <w:numId w:val="2"/>
        </w:numPr>
        <w:spacing w:after="40" w:before="40"/>
      </w:pPr>
      <w:r>
        <w:t xml:space="preserve">When does Katana want the first Readiness Assessment on the street?</w:t>
      </w:r>
    </w:p>
    <w:p>
      <w:pPr>
        <w:pStyle w:val="ListParagraph"/>
        <w:numPr>
          <w:ilvl w:val="0"/>
          <w:numId w:val="2"/>
        </w:numPr>
        <w:spacing w:after="40" w:before="40"/>
      </w:pPr>
      <w:r>
        <w:t xml:space="preserve">What would success look like — number of signed AI clients by end of 2026? MRR target? Vertical wins?</w:t>
      </w:r>
    </w:p>
    <w:p>
      <w:pPr>
        <w:pStyle w:val="Heading1"/>
      </w:pPr>
      <w:r>
        <w:t xml:space="preserve">9. What "Yes" From the Meeting Unlocks</w:t>
      </w:r>
    </w:p>
    <w:p>
      <w:pPr>
        <w:spacing w:after="80" w:before="80"/>
      </w:pPr>
      <w:r>
        <w:t xml:space="preserve">If Drew and the partners endorse this shape in the meeting, Mike can move immediately to the next round of deliverables:</w:t>
      </w:r>
    </w:p>
    <w:p>
      <w:pPr>
        <w:pStyle w:val="ListParagraph"/>
        <w:numPr>
          <w:ilvl w:val="0"/>
          <w:numId w:val="2"/>
        </w:numPr>
        <w:spacing w:after="40" w:before="40"/>
      </w:pPr>
      <w:r>
        <w:t xml:space="preserve">AI Readiness Assessment Template — the 4D scoring rubric, interview guide, and roadmap format. This is the first productized artifact.</w:t>
      </w:r>
    </w:p>
    <w:p>
      <w:pPr>
        <w:pStyle w:val="ListParagraph"/>
        <w:numPr>
          <w:ilvl w:val="0"/>
          <w:numId w:val="2"/>
        </w:numPr>
        <w:spacing w:after="40" w:before="40"/>
      </w:pPr>
      <w:r>
        <w:t xml:space="preserve">AI Usage Policy Boilerplate — the template Katana hands every client, customized per engagement. Internal version first, external second.</w:t>
      </w:r>
    </w:p>
    <w:p>
      <w:pPr>
        <w:pStyle w:val="ListParagraph"/>
        <w:numPr>
          <w:ilvl w:val="0"/>
          <w:numId w:val="2"/>
        </w:numPr>
        <w:spacing w:after="40" w:before="40"/>
      </w:pPr>
      <w:r>
        <w:t xml:space="preserve">One-Page Sales Sheet — the menu above, on one page, for website and outreach use.</w:t>
      </w:r>
    </w:p>
    <w:p>
      <w:pPr>
        <w:pStyle w:val="ListParagraph"/>
        <w:numPr>
          <w:ilvl w:val="0"/>
          <w:numId w:val="2"/>
        </w:numPr>
        <w:spacing w:after="40" w:before="40"/>
      </w:pPr>
      <w:r>
        <w:t xml:space="preserve">Service Tier Definitions — Essentials / Advanced / AI-Ready with features and pricing logic.</w:t>
      </w:r>
    </w:p>
    <w:p>
      <w:pPr>
        <w:pStyle w:val="ListParagraph"/>
        <w:numPr>
          <w:ilvl w:val="0"/>
          <w:numId w:val="2"/>
        </w:numPr>
        <w:spacing w:after="40" w:before="40"/>
      </w:pPr>
      <w:r>
        <w:t xml:space="preserve">Discovery Call Playbook — the 4D interview guide from Section 6 turned into a repeatable first-call script.</w:t>
      </w:r>
    </w:p>
    <w:p>
      <w:pPr>
        <w:spacing w:after="80" w:before="80"/>
      </w:pPr>
      <w:r>
        <w:t xml:space="preserve">The stack conversation — Claude, Copilot, or both — is a separate later discussion. Happy to run it whenever Drew wants; this brief intentionally leaves it out so the meeting stays focused on the offer, not the vendor.</w:t>
      </w:r>
    </w:p>
    <w:p>
      <w:pPr>
        <w:pStyle w:val="Heading1"/>
      </w:pPr>
      <w:r>
        <w:t xml:space="preserve">10. One-Page Summary</w:t>
      </w:r>
    </w:p>
    <w:p>
      <w:pPr>
        <w:spacing w:after="40" w:before="120"/>
      </w:pPr>
      <w:r>
        <w:rPr>
          <w:b/>
          <w:bCs/>
        </w:rPr>
        <w:t xml:space="preserve">The positioning</w:t>
      </w:r>
    </w:p>
    <w:p>
      <w:pPr>
        <w:spacing w:after="80" w:before="80"/>
      </w:pPr>
      <w:r>
        <w:t xml:space="preserve">Katana does not sell AI tools. Katana sells the enablement, governance, and ongoing operational discipline that determine whether AI tools produce value without putting the client at risk.</w:t>
      </w:r>
    </w:p>
    <w:p>
      <w:pPr>
        <w:spacing w:after="40" w:before="120"/>
      </w:pPr>
      <w:r>
        <w:rPr>
          <w:b/>
          <w:bCs/>
        </w:rPr>
        <w:t xml:space="preserve">The framework</w:t>
      </w:r>
    </w:p>
    <w:p>
      <w:pPr>
        <w:spacing w:after="80" w:before="80"/>
      </w:pPr>
      <w:r>
        <w:t xml:space="preserve">Anthropic’s AI Fluency 4D — Delegation, Description, Discernment, Diligence — used as the lens for every client conversation, every assessment, and every productized offer.</w:t>
      </w:r>
    </w:p>
    <w:p>
      <w:pPr>
        <w:spacing w:after="40" w:before="120"/>
      </w:pPr>
      <w:r>
        <w:rPr>
          <w:b/>
          <w:bCs/>
        </w:rPr>
        <w:t xml:space="preserve">The menu</w:t>
      </w:r>
    </w:p>
    <w:p>
      <w:pPr>
        <w:spacing w:after="80" w:before="80"/>
      </w:pPr>
      <w:r>
        <w:t xml:space="preserve">Assessment (wedge) → Onboarding (pilot) → Enablement (retainer) → Governance (retainer) → Managed AI Ops (bundled MRR).</w:t>
      </w:r>
    </w:p>
    <w:p>
      <w:pPr>
        <w:spacing w:after="40" w:before="120"/>
      </w:pPr>
      <w:r>
        <w:rPr>
          <w:b/>
          <w:bCs/>
        </w:rPr>
        <w:t xml:space="preserve">The wedge</w:t>
      </w:r>
    </w:p>
    <w:p>
      <w:pPr>
        <w:spacing w:after="80" w:before="80"/>
      </w:pPr>
      <w:r>
        <w:t xml:space="preserve">Two-week fixed-scope AI Readiness Assessment. 4D-scored report, 90-day roadmap. Every new AI client starts here.</w:t>
      </w:r>
    </w:p>
    <w:p>
      <w:pPr>
        <w:spacing w:after="40" w:before="120"/>
      </w:pPr>
      <w:r>
        <w:rPr>
          <w:b/>
          <w:bCs/>
        </w:rPr>
        <w:t xml:space="preserve">The differentiator</w:t>
      </w:r>
    </w:p>
    <w:p>
      <w:pPr>
        <w:spacing w:after="80" w:before="80"/>
      </w:pPr>
      <w:r>
        <w:t xml:space="preserve">Vendor-neutral method, productized pricing, Governance-led posture, recurring-revenue spine.</w:t>
      </w:r>
    </w:p>
    <w:p>
      <w:pPr>
        <w:spacing w:after="0" w:before="400"/>
      </w:pPr>
    </w:p>
    <w:p>
      <w:pPr>
        <w:pBdr>
          <w:top w:val="single" w:color="CCCCCC" w:sz="4" w:space="4"/>
        </w:pBdr>
        <w:spacing w:after="40" w:before="200"/>
      </w:pPr>
      <w:r>
        <w:rPr>
          <w:b/>
          <w:bCs/>
          <w:color w:val="595959"/>
          <w:sz w:val="20"/>
          <w:szCs w:val="20"/>
        </w:rPr>
        <w:t xml:space="preserve">References</w:t>
      </w:r>
    </w:p>
    <w:p>
      <w:pPr>
        <w:spacing w:after="20" w:before="20"/>
      </w:pPr>
      <w:r>
        <w:rPr>
          <w:color w:val="595959"/>
          <w:sz w:val="18"/>
          <w:szCs w:val="18"/>
        </w:rPr>
        <w:t xml:space="preserve">Anthropic AI Fluency Framework (Dakan &amp; Feller) — https://www.anthropic.com/ai-fluency</w:t>
      </w:r>
    </w:p>
    <w:p>
      <w:pPr>
        <w:spacing w:after="20" w:before="20"/>
      </w:pPr>
      <w:r>
        <w:rPr>
          <w:color w:val="595959"/>
          <w:sz w:val="18"/>
          <w:szCs w:val="18"/>
        </w:rPr>
        <w:t xml:space="preserve">Katana engagement memory — /Katana/memory.md</w:t>
      </w:r>
    </w:p>
    <w:p>
      <w:pPr>
        <w:spacing w:after="20" w:before="20"/>
      </w:pPr>
      <w:r>
        <w:rPr>
          <w:color w:val="595959"/>
          <w:sz w:val="18"/>
          <w:szCs w:val="18"/>
        </w:rPr>
        <w:t xml:space="preserve">Companion deeper-reference doc (stack comparison, internal AI ops) — Katana-AI-Briefing-v1.docx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Katana AI Client Offer Brief</dc:title>
  <dc:creator>Mike / Fructify LLC</dc:creator>
  <dc:description>Meeting brief for Drew + partners. What Katana offers clients, structured around the 4D framework.</dc:description>
  <cp:lastModifiedBy>Un-named</cp:lastModifiedBy>
  <cp:revision>1</cp:revision>
  <dcterms:created xsi:type="dcterms:W3CDTF">2026-04-21T14:55:13.556Z</dcterms:created>
  <dcterms:modified xsi:type="dcterms:W3CDTF">2026-04-21T14:55:13.556Z</dcterms:modified>
</cp:coreProperties>
</file>

<file path=docProps/custom.xml><?xml version="1.0" encoding="utf-8"?>
<Properties xmlns="http://schemas.openxmlformats.org/officeDocument/2006/custom-properties" xmlns:vt="http://schemas.openxmlformats.org/officeDocument/2006/docPropsVTypes"/>
</file>