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trHeight w:val="9800" w:hRule="exact"/>
        </w:trPr>
        <w:tc>
          <w:tcPr>
            <w:tcW w:type="dxa" w:w="9746"/>
            <w:tcBorders>
              <w:top w:val="none" w:color="FFFFFF" w:sz="0"/>
              <w:left w:val="none" w:color="FFFFFF" w:sz="0"/>
              <w:bottom w:val="none" w:color="FFFFFF" w:sz="0"/>
              <w:right w:val="none" w:color="FFFFFF" w:sz="0"/>
            </w:tcBorders>
            <w:shd w:fill="0B2545" w:color="auto" w:val="clear"/>
            <w:tcMar>
              <w:top w:type="dxa" w:w="400"/>
              <w:left w:type="dxa" w:w="480"/>
              <w:bottom w:type="dxa" w:w="300"/>
              <w:right w:type="dxa" w:w="480"/>
            </w:tcMar>
            <w:vAlign w:val="top"/>
          </w:tcPr>
          <w:p>
            <w:pPr>
              <w:spacing w:after="300" w:before="900"/>
            </w:pPr>
            <w:r>
              <w:rPr>
                <w:rFonts w:ascii="Segoe UI" w:cs="Segoe UI" w:eastAsia="Segoe UI" w:hAnsi="Segoe UI"/>
                <w:color w:val="AEB9CC"/>
                <w:spacing w:val="30"/>
                <w:sz w:val="18"/>
                <w:szCs w:val="18"/>
              </w:rPr>
              <w:t xml:space="preserve">SMART INDIA HACKATHON 2026  ·  PROBLEM STATEMENT 26167  ·  ISRO</w:t>
            </w:r>
          </w:p>
          <w:p>
            <w:pPr>
              <w:spacing w:after="200"/>
            </w:pPr>
            <w:r>
              <w:rPr>
                <w:rFonts w:ascii="Segoe UI" w:cs="Segoe UI" w:eastAsia="Segoe UI" w:hAnsi="Segoe UI"/>
                <w:b/>
                <w:bCs/>
                <w:color w:val="FFFFFF"/>
                <w:sz w:val="96"/>
                <w:szCs w:val="96"/>
              </w:rPr>
              <w:t xml:space="preserve">SatQuery AI</w:t>
            </w:r>
          </w:p>
          <w:p>
            <w:pPr>
              <w:spacing w:after="420"/>
            </w:pPr>
            <w:r>
              <w:rPr>
                <w:rFonts w:ascii="Segoe UI Light" w:cs="Segoe UI Light" w:eastAsia="Segoe UI Light" w:hAnsi="Segoe UI Light"/>
                <w:color w:val="DCE4F0"/>
                <w:sz w:val="30"/>
                <w:szCs w:val="30"/>
              </w:rPr>
              <w:t xml:space="preserve">An Agentic Vision-Language Assistant for Multimodal Remote-Sensing Image Analysis through Text Queries</w:t>
            </w:r>
          </w:p>
          <w:p>
            <w:pPr>
              <w:pBdr>
                <w:top w:val="single" w:color="EDA100" w:sz="36" w:space="1"/>
              </w:pBdr>
              <w:spacing w:after="200"/>
              <w:ind w:right="7400"/>
            </w:pPr>
          </w:p>
          <w:p>
            <w:r>
              <w:rPr>
                <w:rFonts w:ascii="Segoe UI" w:cs="Segoe UI" w:eastAsia="Segoe UI" w:hAnsi="Segoe UI"/>
                <w:color w:val="FFFFFF"/>
                <w:sz w:val="24"/>
                <w:szCs w:val="24"/>
              </w:rPr>
              <w:t xml:space="preserve">Technical Report — Approach, Architecture and Evidence</w:t>
            </w:r>
          </w:p>
        </w:tc>
      </w:tr>
      <w:tr>
        <w:trPr>
          <w:trHeight w:val="3700" w:hRule="exact"/>
        </w:trPr>
        <w:tc>
          <w:tcPr>
            <w:tcW w:type="dxa" w:w="9746"/>
            <w:tcBorders>
              <w:top w:val="none" w:color="FFFFFF" w:sz="0"/>
              <w:left w:val="none" w:color="FFFFFF" w:sz="0"/>
              <w:bottom w:val="none" w:color="FFFFFF" w:sz="0"/>
              <w:right w:val="none" w:color="FFFFFF" w:sz="0"/>
            </w:tcBorders>
            <w:shd w:fill="0E2D52" w:color="auto" w:val="clear"/>
            <w:tcMar>
              <w:top w:type="dxa" w:w="400"/>
              <w:left w:type="dxa" w:w="480"/>
              <w:bottom w:type="dxa" w:w="300"/>
              <w:right w:type="dxa" w:w="480"/>
            </w:tcMar>
            <w:vAlign w:val="top"/>
          </w:tcPr>
          <w:p>
            <w:pPr>
              <w:spacing w:before="200"/>
            </w:pPr>
            <w:r>
              <w:rPr>
                <w:rFonts w:ascii="Segoe UI" w:cs="Segoe UI" w:eastAsia="Segoe UI" w:hAnsi="Segoe UI"/>
                <w:color w:val="8FA0BB"/>
                <w:spacing w:val="40"/>
                <w:sz w:val="18"/>
                <w:szCs w:val="18"/>
              </w:rPr>
              <w:t xml:space="preserve">TEAM</w:t>
            </w:r>
          </w:p>
          <w:p>
            <w:pPr>
              <w:spacing w:after="260"/>
            </w:pPr>
            <w:r>
              <w:rPr>
                <w:rFonts w:ascii="Segoe UI" w:cs="Segoe UI" w:eastAsia="Segoe UI" w:hAnsi="Segoe UI"/>
                <w:b/>
                <w:bCs/>
                <w:color w:val="EDA100"/>
                <w:sz w:val="60"/>
                <w:szCs w:val="60"/>
              </w:rPr>
              <w:t xml:space="preserve">BUGHEBUG</w:t>
            </w:r>
          </w:p>
          <w:p>
            <w:pPr>
              <w:tabs>
                <w:tab w:val="left" w:pos="2600"/>
              </w:tabs>
              <w:spacing w:after="40"/>
            </w:pPr>
            <w:r>
              <w:rPr>
                <w:color w:val="8FA0BB"/>
                <w:sz w:val="18"/>
                <w:szCs w:val="18"/>
              </w:rPr>
              <w:t xml:space="preserve">Problem Statement ID</w:t>
            </w:r>
            <w:r>
              <w:rPr>
                <w:color w:val="DCE4F0"/>
                <w:sz w:val="18"/>
                <w:szCs w:val="18"/>
              </w:rPr>
              <w:t xml:space="preserve">	26167</w:t>
            </w:r>
          </w:p>
          <w:p>
            <w:pPr>
              <w:tabs>
                <w:tab w:val="left" w:pos="2600"/>
              </w:tabs>
              <w:spacing w:after="40"/>
            </w:pPr>
            <w:r>
              <w:rPr>
                <w:color w:val="8FA0BB"/>
                <w:sz w:val="18"/>
                <w:szCs w:val="18"/>
              </w:rPr>
              <w:t xml:space="preserve">Organisation</w:t>
            </w:r>
            <w:r>
              <w:rPr>
                <w:color w:val="DCE4F0"/>
                <w:sz w:val="18"/>
                <w:szCs w:val="18"/>
              </w:rPr>
              <w:t xml:space="preserve">	Indian Space Research Organisation (ISRO)</w:t>
            </w:r>
          </w:p>
          <w:p>
            <w:pPr>
              <w:tabs>
                <w:tab w:val="left" w:pos="2600"/>
              </w:tabs>
              <w:spacing w:after="40"/>
            </w:pPr>
            <w:r>
              <w:rPr>
                <w:color w:val="8FA0BB"/>
                <w:sz w:val="18"/>
                <w:szCs w:val="18"/>
              </w:rPr>
              <w:t xml:space="preserve">Theme / Category</w:t>
            </w:r>
            <w:r>
              <w:rPr>
                <w:color w:val="DCE4F0"/>
                <w:sz w:val="18"/>
                <w:szCs w:val="18"/>
              </w:rPr>
              <w:t xml:space="preserve">	Space Technology / Software</w:t>
            </w:r>
          </w:p>
          <w:p>
            <w:pPr>
              <w:tabs>
                <w:tab w:val="left" w:pos="2600"/>
              </w:tabs>
              <w:spacing w:after="40"/>
            </w:pPr>
            <w:r>
              <w:rPr>
                <w:color w:val="8FA0BB"/>
                <w:sz w:val="18"/>
                <w:szCs w:val="18"/>
              </w:rPr>
              <w:t xml:space="preserve">Version</w:t>
            </w:r>
            <w:r>
              <w:rPr>
                <w:color w:val="DCE4F0"/>
                <w:sz w:val="18"/>
                <w:szCs w:val="18"/>
              </w:rPr>
              <w:t xml:space="preserve">	1.0 · 26 September 2026</w:t>
            </w:r>
          </w:p>
        </w:tc>
      </w:tr>
    </w:tbl>
    <w:p>
      <w:pPr>
        <w:sectPr>
          <w:pgSz w:w="11906" w:h="16838" w:orient="portrait"/>
          <w:pgMar w:top="720" w:right="1080" w:bottom="720" w:left="1080" w:header="708" w:footer="708" w:gutter="0"/>
          <w:pgNumType/>
          <w:docGrid w:linePitch="360"/>
        </w:sectPr>
      </w:pPr>
    </w:p>
    <w:p>
      <w:pPr>
        <w:pStyle w:val="Heading1"/>
        <w:pBdr>
          <w:bottom w:val="single" w:color="0B2545" w:sz="18" w:space="4"/>
        </w:pBdr>
      </w:pPr>
      <w:bookmarkStart w:name="bm_doc_control" w:id="1"/>
      <w:r>
        <w:t xml:space="preserve">Document Control</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24"/>
        <w:gridCol w:w="6822"/>
      </w:tblGrid>
      <w:tr>
        <w:trPr>
          <w:tblHeader/>
        </w:trPr>
        <w:tc>
          <w:tcPr>
            <w:tcW w:type="dxa" w:w="2924"/>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Field</w:t>
            </w:r>
          </w:p>
        </w:tc>
        <w:tc>
          <w:tcPr>
            <w:tcW w:type="dxa" w:w="6822"/>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Value</w:t>
            </w:r>
          </w:p>
        </w:tc>
      </w:tr>
      <w:tr>
        <w:trPr>
          <w:cantSplit/>
        </w:trPr>
        <w:tc>
          <w:tcPr>
            <w:tcW w:type="dxa" w:w="292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Document</w:t>
            </w:r>
          </w:p>
        </w:tc>
        <w:tc>
          <w:tcPr>
            <w:tcW w:type="dxa" w:w="6822"/>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SatQuery AI — Technical Report: Approach, Architecture and Evidence</w:t>
            </w:r>
          </w:p>
        </w:tc>
      </w:tr>
      <w:tr>
        <w:trPr>
          <w:cantSplit/>
        </w:trPr>
        <w:tc>
          <w:tcPr>
            <w:tcW w:type="dxa" w:w="292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Problem Statement</w:t>
            </w:r>
          </w:p>
        </w:tc>
        <w:tc>
          <w:tcPr>
            <w:tcW w:type="dxa" w:w="6822"/>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PS 26167 · SatQuery AI — An Interactive Vision-Language Assistant for Multimodal Remote Sensing Image Analysis through Text Queries</w:t>
            </w:r>
          </w:p>
        </w:tc>
      </w:tr>
      <w:tr>
        <w:trPr>
          <w:cantSplit/>
        </w:trPr>
        <w:tc>
          <w:tcPr>
            <w:tcW w:type="dxa" w:w="292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Organisation</w:t>
            </w:r>
          </w:p>
        </w:tc>
        <w:tc>
          <w:tcPr>
            <w:tcW w:type="dxa" w:w="6822"/>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Indian Space Research Organisation (ISRO), Department of Space</w:t>
            </w:r>
          </w:p>
        </w:tc>
      </w:tr>
      <w:tr>
        <w:trPr>
          <w:cantSplit/>
        </w:trPr>
        <w:tc>
          <w:tcPr>
            <w:tcW w:type="dxa" w:w="292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Theme / Category</w:t>
            </w:r>
          </w:p>
        </w:tc>
        <w:tc>
          <w:tcPr>
            <w:tcW w:type="dxa" w:w="6822"/>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Space Technology / Software</w:t>
            </w:r>
          </w:p>
        </w:tc>
      </w:tr>
      <w:tr>
        <w:trPr>
          <w:cantSplit/>
        </w:trPr>
        <w:tc>
          <w:tcPr>
            <w:tcW w:type="dxa" w:w="292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Team</w:t>
            </w:r>
          </w:p>
        </w:tc>
        <w:tc>
          <w:tcPr>
            <w:tcW w:type="dxa" w:w="6822"/>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b/>
                <w:bCs/>
                <w:sz w:val="19"/>
                <w:szCs w:val="19"/>
              </w:rPr>
              <w:t xml:space="preserve">BUGHEBUG</w:t>
            </w:r>
          </w:p>
        </w:tc>
      </w:tr>
      <w:tr>
        <w:trPr>
          <w:cantSplit/>
        </w:trPr>
        <w:tc>
          <w:tcPr>
            <w:tcW w:type="dxa" w:w="292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Version / Date</w:t>
            </w:r>
          </w:p>
        </w:tc>
        <w:tc>
          <w:tcPr>
            <w:tcW w:type="dxa" w:w="6822"/>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1.0 / 26 September 2026</w:t>
            </w:r>
          </w:p>
        </w:tc>
      </w:tr>
      <w:tr>
        <w:trPr>
          <w:cantSplit/>
        </w:trPr>
        <w:tc>
          <w:tcPr>
            <w:tcW w:type="dxa" w:w="292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Status</w:t>
            </w:r>
          </w:p>
        </w:tc>
        <w:tc>
          <w:tcPr>
            <w:tcW w:type="dxa" w:w="6822"/>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Submission baseline. Every number in this report was measured; none is a target presented as a result.</w:t>
            </w:r>
          </w:p>
        </w:tc>
      </w:tr>
      <w:tr>
        <w:trPr>
          <w:cantSplit/>
        </w:trPr>
        <w:tc>
          <w:tcPr>
            <w:tcW w:type="dxa" w:w="292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Source of record</w:t>
            </w:r>
          </w:p>
        </w:tc>
        <w:tc>
          <w:tcPr>
            <w:tcW w:type="dxa" w:w="6822"/>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The team repository: </w:t>
            </w:r>
            <w:r>
              <w:rPr>
                <w:rFonts w:ascii="Consolas" w:cs="Consolas" w:eastAsia="Consolas" w:hAnsi="Consolas"/>
                <w:sz w:val="17"/>
                <w:szCs w:val="17"/>
                <w:shd w:fill="EEF1F5" w:color="auto" w:val="clear"/>
              </w:rPr>
              <w:t xml:space="preserve">167/docs/</w:t>
            </w:r>
            <w:r>
              <w:rPr>
                <w:sz w:val="19"/>
                <w:szCs w:val="19"/>
              </w:rPr>
              <w:t xml:space="preserve"> (problem statement, PRD, TRD, system design, ADRs, decision record) and </w:t>
            </w:r>
            <w:r>
              <w:rPr>
                <w:rFonts w:ascii="Consolas" w:cs="Consolas" w:eastAsia="Consolas" w:hAnsi="Consolas"/>
                <w:sz w:val="17"/>
                <w:szCs w:val="17"/>
                <w:shd w:fill="EEF1F5" w:color="auto" w:val="clear"/>
              </w:rPr>
              <w:t xml:space="preserve">167/models/MANIFEST.md</w:t>
            </w:r>
            <w:r>
              <w:rPr>
                <w:sz w:val="19"/>
                <w:szCs w:val="19"/>
              </w:rPr>
              <w:t xml:space="preserve"> (measured model results).</w:t>
            </w:r>
          </w:p>
        </w:tc>
      </w:tr>
    </w:tbl>
    <w:p>
      <w:pPr>
        <w:spacing w:after="160"/>
      </w:pPr>
    </w:p>
    <w:p>
      <w:pPr>
        <w:pStyle w:val="Heading3"/>
      </w:pPr>
      <w:r>
        <w:t xml:space="preserve">How to read this report</w:t>
      </w:r>
    </w:p>
    <w:p>
      <w:pPr>
        <w:jc w:val="both"/>
      </w:pPr>
      <w:r>
        <w:t xml:space="preserve">The report is written so that a reader with no background in satellite imagery or machine learning can follow the whole approach. Section 1 explains the problem, Section 2 teaches the minimum domain knowledge needed, and Sections 3 onward describe what we built, why, and how well it works. A reader in a hurry should read the </w:t>
      </w:r>
      <w:r>
        <w:rPr>
          <w:b/>
          <w:bCs/>
        </w:rPr>
        <w:t xml:space="preserve">Executive Summary</w:t>
      </w:r>
      <w:r>
        <w:t xml:space="preserve">, then </w:t>
      </w:r>
      <w:r>
        <w:rPr>
          <w:b/>
          <w:bCs/>
        </w:rPr>
        <w:t xml:space="preserve">Section 3.2</w:t>
      </w:r>
      <w:r>
        <w:t xml:space="preserve"> (how a question travels through the system) and </w:t>
      </w:r>
      <w:r>
        <w:rPr>
          <w:b/>
          <w:bCs/>
        </w:rPr>
        <w:t xml:space="preserve">Section 8</w:t>
      </w:r>
      <w:r>
        <w:t xml:space="preserve">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4"/>
        <w:gridCol w:w="7602"/>
      </w:tblGrid>
      <w:tr>
        <w:trPr>
          <w:tblHeader/>
        </w:trPr>
        <w:tc>
          <w:tcPr>
            <w:tcW w:type="dxa" w:w="2144"/>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Label</w:t>
            </w:r>
          </w:p>
        </w:tc>
        <w:tc>
          <w:tcPr>
            <w:tcW w:type="dxa" w:w="7602"/>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Meaning in this report</w:t>
            </w:r>
          </w:p>
        </w:tc>
      </w:tr>
      <w:tr>
        <w:trPr>
          <w:cantSplit/>
        </w:trPr>
        <w:tc>
          <w:tcPr>
            <w:tcW w:type="dxa" w:w="214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b/>
                <w:bCs/>
                <w:sz w:val="19"/>
                <w:szCs w:val="19"/>
              </w:rPr>
              <w:t xml:space="preserve">Built</w:t>
            </w:r>
          </w:p>
        </w:tc>
        <w:tc>
          <w:tcPr>
            <w:tcW w:type="dxa" w:w="7602"/>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Implemented, running in the repository, and covered by tests.</w:t>
            </w:r>
          </w:p>
        </w:tc>
      </w:tr>
      <w:tr>
        <w:trPr>
          <w:cantSplit/>
        </w:trPr>
        <w:tc>
          <w:tcPr>
            <w:tcW w:type="dxa" w:w="214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b/>
                <w:bCs/>
                <w:sz w:val="19"/>
                <w:szCs w:val="19"/>
              </w:rPr>
              <w:t xml:space="preserve">Measured</w:t>
            </w:r>
          </w:p>
        </w:tc>
        <w:tc>
          <w:tcPr>
            <w:tcW w:type="dxa" w:w="7602"/>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A number produced by a script whose predictions are stored on disk and can be recomputed.</w:t>
            </w:r>
          </w:p>
        </w:tc>
      </w:tr>
      <w:tr>
        <w:trPr>
          <w:cantSplit/>
        </w:trPr>
        <w:tc>
          <w:tcPr>
            <w:tcW w:type="dxa" w:w="214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b/>
                <w:bCs/>
                <w:sz w:val="19"/>
                <w:szCs w:val="19"/>
              </w:rPr>
              <w:t xml:space="preserve">Planned</w:t>
            </w:r>
          </w:p>
        </w:tc>
        <w:tc>
          <w:tcPr>
            <w:tcW w:type="dxa" w:w="7602"/>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Designed and specified, not yet implemented. Always labelled as such.</w:t>
            </w:r>
          </w:p>
        </w:tc>
      </w:tr>
      <w:tr>
        <w:trPr>
          <w:cantSplit/>
        </w:trPr>
        <w:tc>
          <w:tcPr>
            <w:tcW w:type="dxa" w:w="214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b/>
                <w:bCs/>
                <w:sz w:val="19"/>
                <w:szCs w:val="19"/>
              </w:rPr>
              <w:t xml:space="preserve">Synthetic</w:t>
            </w:r>
          </w:p>
        </w:tc>
        <w:tc>
          <w:tcPr>
            <w:tcW w:type="dxa" w:w="7602"/>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Demo scenes whose pixels are generated, because Cartosat-2S and RISAT imagery is not publicly available. The algorithms that read those pixels are real.</w:t>
            </w:r>
          </w:p>
        </w:tc>
      </w:tr>
      <w:tr>
        <w:trPr>
          <w:cantSplit/>
        </w:trPr>
        <w:tc>
          <w:tcPr>
            <w:tcW w:type="dxa" w:w="214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[n]</w:t>
            </w:r>
          </w:p>
        </w:tc>
        <w:tc>
          <w:tcPr>
            <w:tcW w:type="dxa" w:w="7602"/>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A citation to entry n in Section 15, </w:t>
            </w:r>
            <w:r>
              <w:rPr>
                <w:i/>
                <w:iCs/>
                <w:sz w:val="19"/>
                <w:szCs w:val="19"/>
              </w:rPr>
              <w:t xml:space="preserve">Research and References</w:t>
            </w:r>
            <w:r>
              <w:rPr>
                <w:sz w:val="19"/>
                <w:szCs w:val="19"/>
              </w:rPr>
              <w:t xml:space="preserve">. Every reference carries a hyperlink.</w:t>
            </w:r>
          </w:p>
        </w:tc>
      </w:tr>
    </w:tbl>
    <w:p>
      <w:pPr>
        <w:pStyle w:val="Heading1"/>
        <w:pageBreakBefore/>
        <w:pBdr>
          <w:bottom w:val="single" w:color="0B2545" w:sz="18" w:space="4"/>
        </w:pBdr>
      </w:pPr>
      <w:r>
        <w:t xml:space="preserve">Index</w:t>
      </w:r>
    </w:p>
    <w:p>
      <w:pPr>
        <w:spacing w:after="160"/>
      </w:pPr>
      <w:r>
        <w:rPr>
          <w:i/>
          <w:iCs/>
          <w:color w:val="6B7280"/>
          <w:sz w:val="18"/>
          <w:szCs w:val="18"/>
        </w:rPr>
        <w:t xml:space="preserve">Every entry is a link to its section. In Word, the Navigation Pane (View → Navigation Pane) shows the same outline.</w:t>
      </w:r>
    </w:p>
    <w:p>
      <w:pPr>
        <w:tabs>
          <w:tab w:val="left" w:pos="560"/>
        </w:tabs>
        <w:spacing w:after="30" w:before="120"/>
        <w:ind w:left="0"/>
      </w:pPr>
      <w:hyperlink w:history="1" w:anchor="bm_exec">
        <w:r>
          <w:rPr>
            <w:b/>
            <w:bCs/>
            <w:color w:val="2A78D6"/>
            <w:sz w:val="21"/>
            <w:szCs w:val="21"/>
          </w:rPr>
          <w:t xml:space="preserve"/>
        </w:r>
        <w:r>
          <w:rPr>
            <w:b/>
            <w:bCs/>
            <w:color w:val="0B2545"/>
            <w:sz w:val="21"/>
            <w:szCs w:val="21"/>
          </w:rPr>
          <w:t xml:space="preserve">	Executive Summary</w:t>
        </w:r>
      </w:hyperlink>
    </w:p>
    <w:p>
      <w:pPr>
        <w:tabs>
          <w:tab w:val="left" w:pos="560"/>
        </w:tabs>
        <w:spacing w:after="30" w:before="120"/>
        <w:ind w:left="0"/>
      </w:pPr>
      <w:hyperlink w:history="1" w:anchor="bm_ps">
        <w:r>
          <w:rPr>
            <w:b/>
            <w:bCs/>
            <w:color w:val="2A78D6"/>
            <w:sz w:val="21"/>
            <w:szCs w:val="21"/>
          </w:rPr>
          <w:t xml:space="preserve">1</w:t>
        </w:r>
        <w:r>
          <w:rPr>
            <w:b/>
            <w:bCs/>
            <w:color w:val="0B2545"/>
            <w:sz w:val="21"/>
            <w:szCs w:val="21"/>
          </w:rPr>
          <w:t xml:space="preserve">	Problem Statement Understanding</w:t>
        </w:r>
      </w:hyperlink>
    </w:p>
    <w:p>
      <w:pPr>
        <w:tabs>
          <w:tab w:val="left" w:pos="1160"/>
        </w:tabs>
        <w:spacing w:after="20" w:before="0"/>
        <w:ind w:left="560"/>
      </w:pPr>
      <w:hyperlink w:history="1" w:anchor="bm_ps_record">
        <w:r>
          <w:rPr>
            <w:b w:val="false"/>
            <w:bCs w:val="false"/>
            <w:color w:val="2A78D6"/>
            <w:sz w:val="19"/>
            <w:szCs w:val="19"/>
          </w:rPr>
          <w:t xml:space="preserve">1.1</w:t>
        </w:r>
        <w:r>
          <w:rPr>
            <w:b w:val="false"/>
            <w:bCs w:val="false"/>
            <w:color w:val="1F2937"/>
            <w:sz w:val="19"/>
            <w:szCs w:val="19"/>
          </w:rPr>
          <w:t xml:space="preserve">	The problem statement at a glance</w:t>
        </w:r>
      </w:hyperlink>
    </w:p>
    <w:p>
      <w:pPr>
        <w:tabs>
          <w:tab w:val="left" w:pos="1160"/>
        </w:tabs>
        <w:spacing w:after="20" w:before="0"/>
        <w:ind w:left="560"/>
      </w:pPr>
      <w:hyperlink w:history="1" w:anchor="bm_ps_plain">
        <w:r>
          <w:rPr>
            <w:b w:val="false"/>
            <w:bCs w:val="false"/>
            <w:color w:val="2A78D6"/>
            <w:sz w:val="19"/>
            <w:szCs w:val="19"/>
          </w:rPr>
          <w:t xml:space="preserve">1.2</w:t>
        </w:r>
        <w:r>
          <w:rPr>
            <w:b w:val="false"/>
            <w:bCs w:val="false"/>
            <w:color w:val="1F2937"/>
            <w:sz w:val="19"/>
            <w:szCs w:val="19"/>
          </w:rPr>
          <w:t xml:space="preserve">	The problem in plain words</w:t>
        </w:r>
      </w:hyperlink>
    </w:p>
    <w:p>
      <w:pPr>
        <w:tabs>
          <w:tab w:val="left" w:pos="1160"/>
        </w:tabs>
        <w:spacing w:after="20" w:before="0"/>
        <w:ind w:left="560"/>
      </w:pPr>
      <w:hyperlink w:history="1" w:anchor="bm_ps_five">
        <w:r>
          <w:rPr>
            <w:b w:val="false"/>
            <w:bCs w:val="false"/>
            <w:color w:val="2A78D6"/>
            <w:sz w:val="19"/>
            <w:szCs w:val="19"/>
          </w:rPr>
          <w:t xml:space="preserve">1.3</w:t>
        </w:r>
        <w:r>
          <w:rPr>
            <w:b w:val="false"/>
            <w:bCs w:val="false"/>
            <w:color w:val="1F2937"/>
            <w:sz w:val="19"/>
            <w:szCs w:val="19"/>
          </w:rPr>
          <w:t xml:space="preserve">	The five mandatory capabilities</w:t>
        </w:r>
      </w:hyperlink>
    </w:p>
    <w:p>
      <w:pPr>
        <w:tabs>
          <w:tab w:val="left" w:pos="1160"/>
        </w:tabs>
        <w:spacing w:after="20" w:before="0"/>
        <w:ind w:left="560"/>
      </w:pPr>
      <w:hyperlink w:history="1" w:anchor="bm_ps_inputs">
        <w:r>
          <w:rPr>
            <w:b w:val="false"/>
            <w:bCs w:val="false"/>
            <w:color w:val="2A78D6"/>
            <w:sz w:val="19"/>
            <w:szCs w:val="19"/>
          </w:rPr>
          <w:t xml:space="preserve">1.4</w:t>
        </w:r>
        <w:r>
          <w:rPr>
            <w:b w:val="false"/>
            <w:bCs w:val="false"/>
            <w:color w:val="1F2937"/>
            <w:sz w:val="19"/>
            <w:szCs w:val="19"/>
          </w:rPr>
          <w:t xml:space="preserve">	The three input modes</w:t>
        </w:r>
      </w:hyperlink>
    </w:p>
    <w:p>
      <w:pPr>
        <w:tabs>
          <w:tab w:val="left" w:pos="1160"/>
        </w:tabs>
        <w:spacing w:after="20" w:before="0"/>
        <w:ind w:left="560"/>
      </w:pPr>
      <w:hyperlink w:history="1" w:anchor="bm_ps_queries">
        <w:r>
          <w:rPr>
            <w:b w:val="false"/>
            <w:bCs w:val="false"/>
            <w:color w:val="2A78D6"/>
            <w:sz w:val="19"/>
            <w:szCs w:val="19"/>
          </w:rPr>
          <w:t xml:space="preserve">1.5</w:t>
        </w:r>
        <w:r>
          <w:rPr>
            <w:b w:val="false"/>
            <w:bCs w:val="false"/>
            <w:color w:val="1F2937"/>
            <w:sz w:val="19"/>
            <w:szCs w:val="19"/>
          </w:rPr>
          <w:t xml:space="preserve">	Representative queries and how SatQuery routes them</w:t>
        </w:r>
      </w:hyperlink>
    </w:p>
    <w:p>
      <w:pPr>
        <w:tabs>
          <w:tab w:val="left" w:pos="1160"/>
        </w:tabs>
        <w:spacing w:after="20" w:before="0"/>
        <w:ind w:left="560"/>
      </w:pPr>
      <w:hyperlink w:history="1" w:anchor="bm_ps_eval">
        <w:r>
          <w:rPr>
            <w:b w:val="false"/>
            <w:bCs w:val="false"/>
            <w:color w:val="2A78D6"/>
            <w:sz w:val="19"/>
            <w:szCs w:val="19"/>
          </w:rPr>
          <w:t xml:space="preserve">1.6</w:t>
        </w:r>
        <w:r>
          <w:rPr>
            <w:b w:val="false"/>
            <w:bCs w:val="false"/>
            <w:color w:val="1F2937"/>
            <w:sz w:val="19"/>
            <w:szCs w:val="19"/>
          </w:rPr>
          <w:t xml:space="preserve">	How the solution will be evaluated — and what the PS does not say</w:t>
        </w:r>
      </w:hyperlink>
    </w:p>
    <w:p>
      <w:pPr>
        <w:tabs>
          <w:tab w:val="left" w:pos="1160"/>
        </w:tabs>
        <w:spacing w:after="20" w:before="0"/>
        <w:ind w:left="560"/>
      </w:pPr>
      <w:hyperlink w:history="1" w:anchor="bm_ps_hard">
        <w:r>
          <w:rPr>
            <w:b w:val="false"/>
            <w:bCs w:val="false"/>
            <w:color w:val="2A78D6"/>
            <w:sz w:val="19"/>
            <w:szCs w:val="19"/>
          </w:rPr>
          <w:t xml:space="preserve">1.7</w:t>
        </w:r>
        <w:r>
          <w:rPr>
            <w:b w:val="false"/>
            <w:bCs w:val="false"/>
            <w:color w:val="1F2937"/>
            <w:sz w:val="19"/>
            <w:szCs w:val="19"/>
          </w:rPr>
          <w:t xml:space="preserve">	Why this is hard, and why a generic AI model is not enough</w:t>
        </w:r>
      </w:hyperlink>
    </w:p>
    <w:p>
      <w:pPr>
        <w:tabs>
          <w:tab w:val="left" w:pos="560"/>
        </w:tabs>
        <w:spacing w:after="30" w:before="120"/>
        <w:ind w:left="0"/>
      </w:pPr>
      <w:hyperlink w:history="1" w:anchor="bm_primer">
        <w:r>
          <w:rPr>
            <w:b/>
            <w:bCs/>
            <w:color w:val="2A78D6"/>
            <w:sz w:val="21"/>
            <w:szCs w:val="21"/>
          </w:rPr>
          <w:t xml:space="preserve">2</w:t>
        </w:r>
        <w:r>
          <w:rPr>
            <w:b/>
            <w:bCs/>
            <w:color w:val="0B2545"/>
            <w:sz w:val="21"/>
            <w:szCs w:val="21"/>
          </w:rPr>
          <w:t xml:space="preserve">	Background Primer — Satellites, Sensors and AI in Plain Words</w:t>
        </w:r>
      </w:hyperlink>
    </w:p>
    <w:p>
      <w:pPr>
        <w:tabs>
          <w:tab w:val="left" w:pos="1160"/>
        </w:tabs>
        <w:spacing w:after="20" w:before="0"/>
        <w:ind w:left="560"/>
      </w:pPr>
      <w:hyperlink w:history="1" w:anchor="bm_primer_sensors">
        <w:r>
          <w:rPr>
            <w:b w:val="false"/>
            <w:bCs w:val="false"/>
            <w:color w:val="2A78D6"/>
            <w:sz w:val="19"/>
            <w:szCs w:val="19"/>
          </w:rPr>
          <w:t xml:space="preserve">2.1</w:t>
        </w:r>
        <w:r>
          <w:rPr>
            <w:b w:val="false"/>
            <w:bCs w:val="false"/>
            <w:color w:val="1F2937"/>
            <w:sz w:val="19"/>
            <w:szCs w:val="19"/>
          </w:rPr>
          <w:t xml:space="preserve">	Two kinds of satellite eyes: optical and SAR</w:t>
        </w:r>
      </w:hyperlink>
    </w:p>
    <w:p>
      <w:pPr>
        <w:tabs>
          <w:tab w:val="left" w:pos="1160"/>
        </w:tabs>
        <w:spacing w:after="20" w:before="0"/>
        <w:ind w:left="560"/>
      </w:pPr>
      <w:hyperlink w:history="1" w:anchor="bm_primer_geo">
        <w:r>
          <w:rPr>
            <w:b w:val="false"/>
            <w:bCs w:val="false"/>
            <w:color w:val="2A78D6"/>
            <w:sz w:val="19"/>
            <w:szCs w:val="19"/>
          </w:rPr>
          <w:t xml:space="preserve">2.2</w:t>
        </w:r>
        <w:r>
          <w:rPr>
            <w:b w:val="false"/>
            <w:bCs w:val="false"/>
            <w:color w:val="1F2937"/>
            <w:sz w:val="19"/>
            <w:szCs w:val="19"/>
          </w:rPr>
          <w:t xml:space="preserve">	Co-registration, GeoTIFF and coordinates</w:t>
        </w:r>
      </w:hyperlink>
    </w:p>
    <w:p>
      <w:pPr>
        <w:tabs>
          <w:tab w:val="left" w:pos="1160"/>
        </w:tabs>
        <w:spacing w:after="20" w:before="0"/>
        <w:ind w:left="560"/>
      </w:pPr>
      <w:hyperlink w:history="1" w:anchor="bm_primer_tasks">
        <w:r>
          <w:rPr>
            <w:b w:val="false"/>
            <w:bCs w:val="false"/>
            <w:color w:val="2A78D6"/>
            <w:sz w:val="19"/>
            <w:szCs w:val="19"/>
          </w:rPr>
          <w:t xml:space="preserve">2.3</w:t>
        </w:r>
        <w:r>
          <w:rPr>
            <w:b w:val="false"/>
            <w:bCs w:val="false"/>
            <w:color w:val="1F2937"/>
            <w:sz w:val="19"/>
            <w:szCs w:val="19"/>
          </w:rPr>
          <w:t xml:space="preserve">	The AI tasks</w:t>
        </w:r>
      </w:hyperlink>
    </w:p>
    <w:p>
      <w:pPr>
        <w:tabs>
          <w:tab w:val="left" w:pos="1160"/>
        </w:tabs>
        <w:spacing w:after="20" w:before="0"/>
        <w:ind w:left="560"/>
      </w:pPr>
      <w:hyperlink w:history="1" w:anchor="bm_primer_change">
        <w:r>
          <w:rPr>
            <w:b w:val="false"/>
            <w:bCs w:val="false"/>
            <w:color w:val="2A78D6"/>
            <w:sz w:val="19"/>
            <w:szCs w:val="19"/>
          </w:rPr>
          <w:t xml:space="preserve">2.4</w:t>
        </w:r>
        <w:r>
          <w:rPr>
            <w:b w:val="false"/>
            <w:bCs w:val="false"/>
            <w:color w:val="1F2937"/>
            <w:sz w:val="19"/>
            <w:szCs w:val="19"/>
          </w:rPr>
          <w:t xml:space="preserve">	The five levels of a change answer</w:t>
        </w:r>
      </w:hyperlink>
    </w:p>
    <w:p>
      <w:pPr>
        <w:tabs>
          <w:tab w:val="left" w:pos="560"/>
        </w:tabs>
        <w:spacing w:after="30" w:before="120"/>
        <w:ind w:left="0"/>
      </w:pPr>
      <w:hyperlink w:history="1" w:anchor="bm_solution">
        <w:r>
          <w:rPr>
            <w:b/>
            <w:bCs/>
            <w:color w:val="2A78D6"/>
            <w:sz w:val="21"/>
            <w:szCs w:val="21"/>
          </w:rPr>
          <w:t xml:space="preserve">3</w:t>
        </w:r>
        <w:r>
          <w:rPr>
            <w:b/>
            <w:bCs/>
            <w:color w:val="0B2545"/>
            <w:sz w:val="21"/>
            <w:szCs w:val="21"/>
          </w:rPr>
          <w:t xml:space="preserve">	Proposed Solution</w:t>
        </w:r>
      </w:hyperlink>
    </w:p>
    <w:p>
      <w:pPr>
        <w:tabs>
          <w:tab w:val="left" w:pos="1160"/>
        </w:tabs>
        <w:spacing w:after="20" w:before="0"/>
        <w:ind w:left="560"/>
      </w:pPr>
      <w:hyperlink w:history="1" w:anchor="bm_sol_one">
        <w:r>
          <w:rPr>
            <w:b w:val="false"/>
            <w:bCs w:val="false"/>
            <w:color w:val="2A78D6"/>
            <w:sz w:val="19"/>
            <w:szCs w:val="19"/>
          </w:rPr>
          <w:t xml:space="preserve">3.1</w:t>
        </w:r>
        <w:r>
          <w:rPr>
            <w:b w:val="false"/>
            <w:bCs w:val="false"/>
            <w:color w:val="1F2937"/>
            <w:sz w:val="19"/>
            <w:szCs w:val="19"/>
          </w:rPr>
          <w:t xml:space="preserve">	Our answer in one sentence</w:t>
        </w:r>
      </w:hyperlink>
    </w:p>
    <w:p>
      <w:pPr>
        <w:tabs>
          <w:tab w:val="left" w:pos="1160"/>
        </w:tabs>
        <w:spacing w:after="20" w:before="0"/>
        <w:ind w:left="560"/>
      </w:pPr>
      <w:hyperlink w:history="1" w:anchor="bm_sol_flow">
        <w:r>
          <w:rPr>
            <w:b w:val="false"/>
            <w:bCs w:val="false"/>
            <w:color w:val="2A78D6"/>
            <w:sz w:val="19"/>
            <w:szCs w:val="19"/>
          </w:rPr>
          <w:t xml:space="preserve">3.2</w:t>
        </w:r>
        <w:r>
          <w:rPr>
            <w:b w:val="false"/>
            <w:bCs w:val="false"/>
            <w:color w:val="1F2937"/>
            <w:sz w:val="19"/>
            <w:szCs w:val="19"/>
          </w:rPr>
          <w:t xml:space="preserve">	How a question travels through the system</w:t>
        </w:r>
      </w:hyperlink>
    </w:p>
    <w:p>
      <w:pPr>
        <w:tabs>
          <w:tab w:val="left" w:pos="1160"/>
        </w:tabs>
        <w:spacing w:after="20" w:before="0"/>
        <w:ind w:left="560"/>
      </w:pPr>
      <w:hyperlink w:history="1" w:anchor="bm_sol_principles">
        <w:r>
          <w:rPr>
            <w:b w:val="false"/>
            <w:bCs w:val="false"/>
            <w:color w:val="2A78D6"/>
            <w:sz w:val="19"/>
            <w:szCs w:val="19"/>
          </w:rPr>
          <w:t xml:space="preserve">3.3</w:t>
        </w:r>
        <w:r>
          <w:rPr>
            <w:b w:val="false"/>
            <w:bCs w:val="false"/>
            <w:color w:val="1F2937"/>
            <w:sz w:val="19"/>
            <w:szCs w:val="19"/>
          </w:rPr>
          <w:t xml:space="preserve">	Three principles that make the answers trustworthy</w:t>
        </w:r>
      </w:hyperlink>
    </w:p>
    <w:p>
      <w:pPr>
        <w:tabs>
          <w:tab w:val="left" w:pos="1160"/>
        </w:tabs>
        <w:spacing w:after="20" w:before="0"/>
        <w:ind w:left="560"/>
      </w:pPr>
      <w:hyperlink w:history="1" w:anchor="bm_sol_router">
        <w:r>
          <w:rPr>
            <w:b w:val="false"/>
            <w:bCs w:val="false"/>
            <w:color w:val="2A78D6"/>
            <w:sz w:val="19"/>
            <w:szCs w:val="19"/>
          </w:rPr>
          <w:t xml:space="preserve">3.4</w:t>
        </w:r>
        <w:r>
          <w:rPr>
            <w:b w:val="false"/>
            <w:bCs w:val="false"/>
            <w:color w:val="1F2937"/>
            <w:sz w:val="19"/>
            <w:szCs w:val="19"/>
          </w:rPr>
          <w:t xml:space="preserve">	The agentic router</w:t>
        </w:r>
      </w:hyperlink>
    </w:p>
    <w:p>
      <w:pPr>
        <w:tabs>
          <w:tab w:val="left" w:pos="1160"/>
        </w:tabs>
        <w:spacing w:after="20" w:before="0"/>
        <w:ind w:left="560"/>
      </w:pPr>
      <w:hyperlink w:history="1" w:anchor="bm_sol_specialists">
        <w:r>
          <w:rPr>
            <w:b w:val="false"/>
            <w:bCs w:val="false"/>
            <w:color w:val="2A78D6"/>
            <w:sz w:val="19"/>
            <w:szCs w:val="19"/>
          </w:rPr>
          <w:t xml:space="preserve">3.5</w:t>
        </w:r>
        <w:r>
          <w:rPr>
            <w:b w:val="false"/>
            <w:bCs w:val="false"/>
            <w:color w:val="1F2937"/>
            <w:sz w:val="19"/>
            <w:szCs w:val="19"/>
          </w:rPr>
          <w:t xml:space="preserve">	The four specialists</w:t>
        </w:r>
      </w:hyperlink>
    </w:p>
    <w:p>
      <w:pPr>
        <w:tabs>
          <w:tab w:val="left" w:pos="1160"/>
        </w:tabs>
        <w:spacing w:after="20" w:before="0"/>
        <w:ind w:left="560"/>
      </w:pPr>
      <w:hyperlink w:history="1" w:anchor="bm_sol_evidence">
        <w:r>
          <w:rPr>
            <w:b w:val="false"/>
            <w:bCs w:val="false"/>
            <w:color w:val="2A78D6"/>
            <w:sz w:val="19"/>
            <w:szCs w:val="19"/>
          </w:rPr>
          <w:t xml:space="preserve">3.6</w:t>
        </w:r>
        <w:r>
          <w:rPr>
            <w:b w:val="false"/>
            <w:bCs w:val="false"/>
            <w:color w:val="1F2937"/>
            <w:sz w:val="19"/>
            <w:szCs w:val="19"/>
          </w:rPr>
          <w:t xml:space="preserve">	Evidence, confidence and the execution trace</w:t>
        </w:r>
      </w:hyperlink>
    </w:p>
    <w:p>
      <w:pPr>
        <w:tabs>
          <w:tab w:val="left" w:pos="1160"/>
        </w:tabs>
        <w:spacing w:after="20" w:before="0"/>
        <w:ind w:left="560"/>
      </w:pPr>
      <w:hyperlink w:history="1" w:anchor="bm_sol_example">
        <w:r>
          <w:rPr>
            <w:b w:val="false"/>
            <w:bCs w:val="false"/>
            <w:color w:val="2A78D6"/>
            <w:sz w:val="19"/>
            <w:szCs w:val="19"/>
          </w:rPr>
          <w:t xml:space="preserve">3.7</w:t>
        </w:r>
        <w:r>
          <w:rPr>
            <w:b w:val="false"/>
            <w:bCs w:val="false"/>
            <w:color w:val="1F2937"/>
            <w:sz w:val="19"/>
            <w:szCs w:val="19"/>
          </w:rPr>
          <w:t xml:space="preserve">	Worked example — seeing under cloud</w:t>
        </w:r>
      </w:hyperlink>
    </w:p>
    <w:p>
      <w:pPr>
        <w:tabs>
          <w:tab w:val="left" w:pos="560"/>
        </w:tabs>
        <w:spacing w:after="30" w:before="120"/>
        <w:ind w:left="0"/>
      </w:pPr>
      <w:hyperlink w:history="1" w:anchor="bm_model">
        <w:r>
          <w:rPr>
            <w:b/>
            <w:bCs/>
            <w:color w:val="2A78D6"/>
            <w:sz w:val="21"/>
            <w:szCs w:val="21"/>
          </w:rPr>
          <w:t xml:space="preserve">4</w:t>
        </w:r>
        <w:r>
          <w:rPr>
            <w:b/>
            <w:bCs/>
            <w:color w:val="0B2545"/>
            <w:sz w:val="21"/>
            <w:szCs w:val="21"/>
          </w:rPr>
          <w:t xml:space="preserve">	The Remote-Sensing-Adapted Model (M1)</w:t>
        </w:r>
      </w:hyperlink>
    </w:p>
    <w:p>
      <w:pPr>
        <w:tabs>
          <w:tab w:val="left" w:pos="1160"/>
        </w:tabs>
        <w:spacing w:after="20" w:before="0"/>
        <w:ind w:left="560"/>
      </w:pPr>
      <w:hyperlink w:history="1" w:anchor="bm_model_inventory">
        <w:r>
          <w:rPr>
            <w:b w:val="false"/>
            <w:bCs w:val="false"/>
            <w:color w:val="2A78D6"/>
            <w:sz w:val="19"/>
            <w:szCs w:val="19"/>
          </w:rPr>
          <w:t xml:space="preserve">4.1</w:t>
        </w:r>
        <w:r>
          <w:rPr>
            <w:b w:val="false"/>
            <w:bCs w:val="false"/>
            <w:color w:val="1F2937"/>
            <w:sz w:val="19"/>
            <w:szCs w:val="19"/>
          </w:rPr>
          <w:t xml:space="preserve">	Model inventory</w:t>
        </w:r>
      </w:hyperlink>
    </w:p>
    <w:p>
      <w:pPr>
        <w:tabs>
          <w:tab w:val="left" w:pos="1160"/>
        </w:tabs>
        <w:spacing w:after="20" w:before="0"/>
        <w:ind w:left="560"/>
      </w:pPr>
      <w:hyperlink w:history="1" w:anchor="bm_model_base">
        <w:r>
          <w:rPr>
            <w:b w:val="false"/>
            <w:bCs w:val="false"/>
            <w:color w:val="2A78D6"/>
            <w:sz w:val="19"/>
            <w:szCs w:val="19"/>
          </w:rPr>
          <w:t xml:space="preserve">4.2</w:t>
        </w:r>
        <w:r>
          <w:rPr>
            <w:b w:val="false"/>
            <w:bCs w:val="false"/>
            <w:color w:val="1F2937"/>
            <w:sz w:val="19"/>
            <w:szCs w:val="19"/>
          </w:rPr>
          <w:t xml:space="preserve">	Choosing the base model by benchmark, not reputation</w:t>
        </w:r>
      </w:hyperlink>
    </w:p>
    <w:p>
      <w:pPr>
        <w:tabs>
          <w:tab w:val="left" w:pos="1160"/>
        </w:tabs>
        <w:spacing w:after="20" w:before="0"/>
        <w:ind w:left="560"/>
      </w:pPr>
      <w:hyperlink w:history="1" w:anchor="bm_model_lora">
        <w:r>
          <w:rPr>
            <w:b w:val="false"/>
            <w:bCs w:val="false"/>
            <w:color w:val="2A78D6"/>
            <w:sz w:val="19"/>
            <w:szCs w:val="19"/>
          </w:rPr>
          <w:t xml:space="preserve">4.3</w:t>
        </w:r>
        <w:r>
          <w:rPr>
            <w:b w:val="false"/>
            <w:bCs w:val="false"/>
            <w:color w:val="1F2937"/>
            <w:sz w:val="19"/>
            <w:szCs w:val="19"/>
          </w:rPr>
          <w:t xml:space="preserve">	How the adapter was trained (LoRA / QLoRA)</w:t>
        </w:r>
      </w:hyperlink>
    </w:p>
    <w:p>
      <w:pPr>
        <w:tabs>
          <w:tab w:val="left" w:pos="1160"/>
        </w:tabs>
        <w:spacing w:after="20" w:before="0"/>
        <w:ind w:left="560"/>
      </w:pPr>
      <w:hyperlink w:history="1" w:anchor="bm_model_result">
        <w:r>
          <w:rPr>
            <w:b w:val="false"/>
            <w:bCs w:val="false"/>
            <w:color w:val="2A78D6"/>
            <w:sz w:val="19"/>
            <w:szCs w:val="19"/>
          </w:rPr>
          <w:t xml:space="preserve">4.4</w:t>
        </w:r>
        <w:r>
          <w:rPr>
            <w:b w:val="false"/>
            <w:bCs w:val="false"/>
            <w:color w:val="1F2937"/>
            <w:sz w:val="19"/>
            <w:szCs w:val="19"/>
          </w:rPr>
          <w:t xml:space="preserve">	The data ladder and the result</w:t>
        </w:r>
      </w:hyperlink>
    </w:p>
    <w:p>
      <w:pPr>
        <w:tabs>
          <w:tab w:val="left" w:pos="1160"/>
        </w:tabs>
        <w:spacing w:after="20" w:before="0"/>
        <w:ind w:left="560"/>
      </w:pPr>
      <w:hyperlink w:history="1" w:anchor="bm_model_sig">
        <w:r>
          <w:rPr>
            <w:b w:val="false"/>
            <w:bCs w:val="false"/>
            <w:color w:val="2A78D6"/>
            <w:sz w:val="19"/>
            <w:szCs w:val="19"/>
          </w:rPr>
          <w:t xml:space="preserve">4.5</w:t>
        </w:r>
        <w:r>
          <w:rPr>
            <w:b w:val="false"/>
            <w:bCs w:val="false"/>
            <w:color w:val="1F2937"/>
            <w:sz w:val="19"/>
            <w:szCs w:val="19"/>
          </w:rPr>
          <w:t xml:space="preserve">	Is the gain real? Significance and split integrity</w:t>
        </w:r>
      </w:hyperlink>
    </w:p>
    <w:p>
      <w:pPr>
        <w:tabs>
          <w:tab w:val="left" w:pos="1160"/>
        </w:tabs>
        <w:spacing w:after="20" w:before="0"/>
        <w:ind w:left="560"/>
      </w:pPr>
      <w:hyperlink w:history="1" w:anchor="bm_model_cats">
        <w:r>
          <w:rPr>
            <w:b w:val="false"/>
            <w:bCs w:val="false"/>
            <w:color w:val="2A78D6"/>
            <w:sz w:val="19"/>
            <w:szCs w:val="19"/>
          </w:rPr>
          <w:t xml:space="preserve">4.6</w:t>
        </w:r>
        <w:r>
          <w:rPr>
            <w:b w:val="false"/>
            <w:bCs w:val="false"/>
            <w:color w:val="1F2937"/>
            <w:sz w:val="19"/>
            <w:szCs w:val="19"/>
          </w:rPr>
          <w:t xml:space="preserve">	Where the gain came from</w:t>
        </w:r>
      </w:hyperlink>
    </w:p>
    <w:p>
      <w:pPr>
        <w:tabs>
          <w:tab w:val="left" w:pos="1160"/>
        </w:tabs>
        <w:spacing w:after="20" w:before="0"/>
        <w:ind w:left="560"/>
      </w:pPr>
      <w:hyperlink w:history="1" w:anchor="bm_model_calib">
        <w:r>
          <w:rPr>
            <w:b w:val="false"/>
            <w:bCs w:val="false"/>
            <w:color w:val="2A78D6"/>
            <w:sz w:val="19"/>
            <w:szCs w:val="19"/>
          </w:rPr>
          <w:t xml:space="preserve">4.7</w:t>
        </w:r>
        <w:r>
          <w:rPr>
            <w:b w:val="false"/>
            <w:bCs w:val="false"/>
            <w:color w:val="1F2937"/>
            <w:sz w:val="19"/>
            <w:szCs w:val="19"/>
          </w:rPr>
          <w:t xml:space="preserve">	Calibration and the confidence gate</w:t>
        </w:r>
      </w:hyperlink>
    </w:p>
    <w:p>
      <w:pPr>
        <w:tabs>
          <w:tab w:val="left" w:pos="1160"/>
        </w:tabs>
        <w:spacing w:after="20" w:before="0"/>
        <w:ind w:left="560"/>
      </w:pPr>
      <w:hyperlink w:history="1" w:anchor="bm_model_serve">
        <w:r>
          <w:rPr>
            <w:b w:val="false"/>
            <w:bCs w:val="false"/>
            <w:color w:val="2A78D6"/>
            <w:sz w:val="19"/>
            <w:szCs w:val="19"/>
          </w:rPr>
          <w:t xml:space="preserve">4.8</w:t>
        </w:r>
        <w:r>
          <w:rPr>
            <w:b w:val="false"/>
            <w:bCs w:val="false"/>
            <w:color w:val="1F2937"/>
            <w:sz w:val="19"/>
            <w:szCs w:val="19"/>
          </w:rPr>
          <w:t xml:space="preserve">	How M1 is served</w:t>
        </w:r>
      </w:hyperlink>
    </w:p>
    <w:p>
      <w:pPr>
        <w:tabs>
          <w:tab w:val="left" w:pos="560"/>
        </w:tabs>
        <w:spacing w:after="30" w:before="120"/>
        <w:ind w:left="0"/>
      </w:pPr>
      <w:hyperlink w:history="1" w:anchor="bm_design">
        <w:r>
          <w:rPr>
            <w:b/>
            <w:bCs/>
            <w:color w:val="2A78D6"/>
            <w:sz w:val="21"/>
            <w:szCs w:val="21"/>
          </w:rPr>
          <w:t xml:space="preserve">5</w:t>
        </w:r>
        <w:r>
          <w:rPr>
            <w:b/>
            <w:bCs/>
            <w:color w:val="0B2545"/>
            <w:sz w:val="21"/>
            <w:szCs w:val="21"/>
          </w:rPr>
          <w:t xml:space="preserve">	System Design and Architecture</w:t>
        </w:r>
      </w:hyperlink>
    </w:p>
    <w:p>
      <w:pPr>
        <w:tabs>
          <w:tab w:val="left" w:pos="1160"/>
        </w:tabs>
        <w:spacing w:after="20" w:before="0"/>
        <w:ind w:left="560"/>
      </w:pPr>
      <w:hyperlink w:history="1" w:anchor="bm_design_context">
        <w:r>
          <w:rPr>
            <w:b w:val="false"/>
            <w:bCs w:val="false"/>
            <w:color w:val="2A78D6"/>
            <w:sz w:val="19"/>
            <w:szCs w:val="19"/>
          </w:rPr>
          <w:t xml:space="preserve">5.1</w:t>
        </w:r>
        <w:r>
          <w:rPr>
            <w:b w:val="false"/>
            <w:bCs w:val="false"/>
            <w:color w:val="1F2937"/>
            <w:sz w:val="19"/>
            <w:szCs w:val="19"/>
          </w:rPr>
          <w:t xml:space="preserve">	System context</w:t>
        </w:r>
      </w:hyperlink>
    </w:p>
    <w:p>
      <w:pPr>
        <w:tabs>
          <w:tab w:val="left" w:pos="1160"/>
        </w:tabs>
        <w:spacing w:after="20" w:before="0"/>
        <w:ind w:left="560"/>
      </w:pPr>
      <w:hyperlink w:history="1" w:anchor="bm_design_containers">
        <w:r>
          <w:rPr>
            <w:b w:val="false"/>
            <w:bCs w:val="false"/>
            <w:color w:val="2A78D6"/>
            <w:sz w:val="19"/>
            <w:szCs w:val="19"/>
          </w:rPr>
          <w:t xml:space="preserve">5.2</w:t>
        </w:r>
        <w:r>
          <w:rPr>
            <w:b w:val="false"/>
            <w:bCs w:val="false"/>
            <w:color w:val="1F2937"/>
            <w:sz w:val="19"/>
            <w:szCs w:val="19"/>
          </w:rPr>
          <w:t xml:space="preserve">	Containers</w:t>
        </w:r>
      </w:hyperlink>
    </w:p>
    <w:p>
      <w:pPr>
        <w:tabs>
          <w:tab w:val="left" w:pos="1160"/>
        </w:tabs>
        <w:spacing w:after="20" w:before="0"/>
        <w:ind w:left="560"/>
      </w:pPr>
      <w:hyperlink w:history="1" w:anchor="bm_design_components">
        <w:r>
          <w:rPr>
            <w:b w:val="false"/>
            <w:bCs w:val="false"/>
            <w:color w:val="2A78D6"/>
            <w:sz w:val="19"/>
            <w:szCs w:val="19"/>
          </w:rPr>
          <w:t xml:space="preserve">5.3</w:t>
        </w:r>
        <w:r>
          <w:rPr>
            <w:b w:val="false"/>
            <w:bCs w:val="false"/>
            <w:color w:val="1F2937"/>
            <w:sz w:val="19"/>
            <w:szCs w:val="19"/>
          </w:rPr>
          <w:t xml:space="preserve">	Components and the six processing layers</w:t>
        </w:r>
      </w:hyperlink>
    </w:p>
    <w:p>
      <w:pPr>
        <w:tabs>
          <w:tab w:val="left" w:pos="1160"/>
        </w:tabs>
        <w:spacing w:after="20" w:before="0"/>
        <w:ind w:left="560"/>
      </w:pPr>
      <w:hyperlink w:history="1" w:anchor="bm_design_deploy">
        <w:r>
          <w:rPr>
            <w:b w:val="false"/>
            <w:bCs w:val="false"/>
            <w:color w:val="2A78D6"/>
            <w:sz w:val="19"/>
            <w:szCs w:val="19"/>
          </w:rPr>
          <w:t xml:space="preserve">5.4</w:t>
        </w:r>
        <w:r>
          <w:rPr>
            <w:b w:val="false"/>
            <w:bCs w:val="false"/>
            <w:color w:val="1F2937"/>
            <w:sz w:val="19"/>
            <w:szCs w:val="19"/>
          </w:rPr>
          <w:t xml:space="preserve">	Deployment view</w:t>
        </w:r>
      </w:hyperlink>
    </w:p>
    <w:p>
      <w:pPr>
        <w:tabs>
          <w:tab w:val="left" w:pos="1160"/>
        </w:tabs>
        <w:spacing w:after="20" w:before="0"/>
        <w:ind w:left="560"/>
      </w:pPr>
      <w:hyperlink w:history="1" w:anchor="bm_design_runtime">
        <w:r>
          <w:rPr>
            <w:b w:val="false"/>
            <w:bCs w:val="false"/>
            <w:color w:val="2A78D6"/>
            <w:sz w:val="19"/>
            <w:szCs w:val="19"/>
          </w:rPr>
          <w:t xml:space="preserve">5.5</w:t>
        </w:r>
        <w:r>
          <w:rPr>
            <w:b w:val="false"/>
            <w:bCs w:val="false"/>
            <w:color w:val="1F2937"/>
            <w:sz w:val="19"/>
            <w:szCs w:val="19"/>
          </w:rPr>
          <w:t xml:space="preserve">	Runtime views</w:t>
        </w:r>
      </w:hyperlink>
    </w:p>
    <w:p>
      <w:pPr>
        <w:tabs>
          <w:tab w:val="left" w:pos="1160"/>
        </w:tabs>
        <w:spacing w:after="20" w:before="0"/>
        <w:ind w:left="560"/>
      </w:pPr>
      <w:hyperlink w:history="1" w:anchor="bm_design_api">
        <w:r>
          <w:rPr>
            <w:b w:val="false"/>
            <w:bCs w:val="false"/>
            <w:color w:val="2A78D6"/>
            <w:sz w:val="19"/>
            <w:szCs w:val="19"/>
          </w:rPr>
          <w:t xml:space="preserve">5.6</w:t>
        </w:r>
        <w:r>
          <w:rPr>
            <w:b w:val="false"/>
            <w:bCs w:val="false"/>
            <w:color w:val="1F2937"/>
            <w:sz w:val="19"/>
            <w:szCs w:val="19"/>
          </w:rPr>
          <w:t xml:space="preserve">	API and result contract</w:t>
        </w:r>
      </w:hyperlink>
    </w:p>
    <w:p>
      <w:pPr>
        <w:tabs>
          <w:tab w:val="left" w:pos="1160"/>
        </w:tabs>
        <w:spacing w:after="20" w:before="0"/>
        <w:ind w:left="560"/>
      </w:pPr>
      <w:hyperlink w:history="1" w:anchor="bm_design_cross">
        <w:r>
          <w:rPr>
            <w:b w:val="false"/>
            <w:bCs w:val="false"/>
            <w:color w:val="2A78D6"/>
            <w:sz w:val="19"/>
            <w:szCs w:val="19"/>
          </w:rPr>
          <w:t xml:space="preserve">5.7</w:t>
        </w:r>
        <w:r>
          <w:rPr>
            <w:b w:val="false"/>
            <w:bCs w:val="false"/>
            <w:color w:val="1F2937"/>
            <w:sz w:val="19"/>
            <w:szCs w:val="19"/>
          </w:rPr>
          <w:t xml:space="preserve">	Cross-cutting concerns</w:t>
        </w:r>
      </w:hyperlink>
    </w:p>
    <w:p>
      <w:pPr>
        <w:tabs>
          <w:tab w:val="left" w:pos="1160"/>
        </w:tabs>
        <w:spacing w:after="20" w:before="0"/>
        <w:ind w:left="560"/>
      </w:pPr>
      <w:hyperlink w:history="1" w:anchor="bm_design_nfr">
        <w:r>
          <w:rPr>
            <w:b w:val="false"/>
            <w:bCs w:val="false"/>
            <w:color w:val="2A78D6"/>
            <w:sz w:val="19"/>
            <w:szCs w:val="19"/>
          </w:rPr>
          <w:t xml:space="preserve">5.8</w:t>
        </w:r>
        <w:r>
          <w:rPr>
            <w:b w:val="false"/>
            <w:bCs w:val="false"/>
            <w:color w:val="1F2937"/>
            <w:sz w:val="19"/>
            <w:szCs w:val="19"/>
          </w:rPr>
          <w:t xml:space="preserve">	Quality-attribute targets</w:t>
        </w:r>
      </w:hyperlink>
    </w:p>
    <w:p>
      <w:pPr>
        <w:tabs>
          <w:tab w:val="left" w:pos="560"/>
        </w:tabs>
        <w:spacing w:after="30" w:before="120"/>
        <w:ind w:left="0"/>
      </w:pPr>
      <w:hyperlink w:history="1" w:anchor="bm_stack">
        <w:r>
          <w:rPr>
            <w:b/>
            <w:bCs/>
            <w:color w:val="2A78D6"/>
            <w:sz w:val="21"/>
            <w:szCs w:val="21"/>
          </w:rPr>
          <w:t xml:space="preserve">6</w:t>
        </w:r>
        <w:r>
          <w:rPr>
            <w:b/>
            <w:bCs/>
            <w:color w:val="0B2545"/>
            <w:sz w:val="21"/>
            <w:szCs w:val="21"/>
          </w:rPr>
          <w:t xml:space="preserve">	Technology Stack</w:t>
        </w:r>
      </w:hyperlink>
    </w:p>
    <w:p>
      <w:pPr>
        <w:tabs>
          <w:tab w:val="left" w:pos="560"/>
        </w:tabs>
        <w:spacing w:after="30" w:before="120"/>
        <w:ind w:left="0"/>
      </w:pPr>
      <w:hyperlink w:history="1" w:anchor="bm_webapp">
        <w:r>
          <w:rPr>
            <w:b/>
            <w:bCs/>
            <w:color w:val="2A78D6"/>
            <w:sz w:val="21"/>
            <w:szCs w:val="21"/>
          </w:rPr>
          <w:t xml:space="preserve">7</w:t>
        </w:r>
        <w:r>
          <w:rPr>
            <w:b/>
            <w:bCs/>
            <w:color w:val="0B2545"/>
            <w:sz w:val="21"/>
            <w:szCs w:val="21"/>
          </w:rPr>
          <w:t xml:space="preserve">	The Web Application</w:t>
        </w:r>
      </w:hyperlink>
    </w:p>
    <w:p>
      <w:pPr>
        <w:tabs>
          <w:tab w:val="left" w:pos="560"/>
        </w:tabs>
        <w:spacing w:after="30" w:before="120"/>
        <w:ind w:left="0"/>
      </w:pPr>
      <w:hyperlink w:history="1" w:anchor="bm_results">
        <w:r>
          <w:rPr>
            <w:b/>
            <w:bCs/>
            <w:color w:val="2A78D6"/>
            <w:sz w:val="21"/>
            <w:szCs w:val="21"/>
          </w:rPr>
          <w:t xml:space="preserve">8</w:t>
        </w:r>
        <w:r>
          <w:rPr>
            <w:b/>
            <w:bCs/>
            <w:color w:val="0B2545"/>
            <w:sz w:val="21"/>
            <w:szCs w:val="21"/>
          </w:rPr>
          <w:t xml:space="preserve">	Evaluation and Results</w:t>
        </w:r>
      </w:hyperlink>
    </w:p>
    <w:p>
      <w:pPr>
        <w:tabs>
          <w:tab w:val="left" w:pos="1160"/>
        </w:tabs>
        <w:spacing w:after="20" w:before="0"/>
        <w:ind w:left="560"/>
      </w:pPr>
      <w:hyperlink w:history="1" w:anchor="bm_res_m1">
        <w:r>
          <w:rPr>
            <w:b w:val="false"/>
            <w:bCs w:val="false"/>
            <w:color w:val="2A78D6"/>
            <w:sz w:val="19"/>
            <w:szCs w:val="19"/>
          </w:rPr>
          <w:t xml:space="preserve">8.1</w:t>
        </w:r>
        <w:r>
          <w:rPr>
            <w:b w:val="false"/>
            <w:bCs w:val="false"/>
            <w:color w:val="1F2937"/>
            <w:sz w:val="19"/>
            <w:szCs w:val="19"/>
          </w:rPr>
          <w:t xml:space="preserve">	Remote-sensing adaptation (M1)</w:t>
        </w:r>
      </w:hyperlink>
    </w:p>
    <w:p>
      <w:pPr>
        <w:tabs>
          <w:tab w:val="left" w:pos="1160"/>
        </w:tabs>
        <w:spacing w:after="20" w:before="0"/>
        <w:ind w:left="560"/>
      </w:pPr>
      <w:hyperlink w:history="1" w:anchor="bm_res_classical">
        <w:r>
          <w:rPr>
            <w:b w:val="false"/>
            <w:bCs w:val="false"/>
            <w:color w:val="2A78D6"/>
            <w:sz w:val="19"/>
            <w:szCs w:val="19"/>
          </w:rPr>
          <w:t xml:space="preserve">8.2</w:t>
        </w:r>
        <w:r>
          <w:rPr>
            <w:b w:val="false"/>
            <w:bCs w:val="false"/>
            <w:color w:val="1F2937"/>
            <w:sz w:val="19"/>
            <w:szCs w:val="19"/>
          </w:rPr>
          <w:t xml:space="preserve">	Classical specialists — against ground truth the pipeline never reads</w:t>
        </w:r>
      </w:hyperlink>
    </w:p>
    <w:p>
      <w:pPr>
        <w:tabs>
          <w:tab w:val="left" w:pos="1160"/>
        </w:tabs>
        <w:spacing w:after="20" w:before="0"/>
        <w:ind w:left="560"/>
      </w:pPr>
      <w:hyperlink w:history="1" w:anchor="bm_res_ablation">
        <w:r>
          <w:rPr>
            <w:b w:val="false"/>
            <w:bCs w:val="false"/>
            <w:color w:val="2A78D6"/>
            <w:sz w:val="19"/>
            <w:szCs w:val="19"/>
          </w:rPr>
          <w:t xml:space="preserve">8.3</w:t>
        </w:r>
        <w:r>
          <w:rPr>
            <w:b w:val="false"/>
            <w:bCs w:val="false"/>
            <w:color w:val="1F2937"/>
            <w:sz w:val="19"/>
            <w:szCs w:val="19"/>
          </w:rPr>
          <w:t xml:space="preserve">	Ablation — what each layer adds</w:t>
        </w:r>
      </w:hyperlink>
    </w:p>
    <w:p>
      <w:pPr>
        <w:tabs>
          <w:tab w:val="left" w:pos="1160"/>
        </w:tabs>
        <w:spacing w:after="20" w:before="0"/>
        <w:ind w:left="560"/>
      </w:pPr>
      <w:hyperlink w:history="1" w:anchor="bm_res_notclaimed">
        <w:r>
          <w:rPr>
            <w:b w:val="false"/>
            <w:bCs w:val="false"/>
            <w:color w:val="2A78D6"/>
            <w:sz w:val="19"/>
            <w:szCs w:val="19"/>
          </w:rPr>
          <w:t xml:space="preserve">8.4</w:t>
        </w:r>
        <w:r>
          <w:rPr>
            <w:b w:val="false"/>
            <w:bCs w:val="false"/>
            <w:color w:val="1F2937"/>
            <w:sz w:val="19"/>
            <w:szCs w:val="19"/>
          </w:rPr>
          <w:t xml:space="preserve">	What we deliberately do not claim</w:t>
        </w:r>
      </w:hyperlink>
    </w:p>
    <w:p>
      <w:pPr>
        <w:tabs>
          <w:tab w:val="left" w:pos="560"/>
        </w:tabs>
        <w:spacing w:after="30" w:before="120"/>
        <w:ind w:left="0"/>
      </w:pPr>
      <w:hyperlink w:history="1" w:anchor="bm_novelty">
        <w:r>
          <w:rPr>
            <w:b/>
            <w:bCs/>
            <w:color w:val="2A78D6"/>
            <w:sz w:val="21"/>
            <w:szCs w:val="21"/>
          </w:rPr>
          <w:t xml:space="preserve">9</w:t>
        </w:r>
        <w:r>
          <w:rPr>
            <w:b/>
            <w:bCs/>
            <w:color w:val="0B2545"/>
            <w:sz w:val="21"/>
            <w:szCs w:val="21"/>
          </w:rPr>
          <w:t xml:space="preserve">	Novelty and Differentiation</w:t>
        </w:r>
      </w:hyperlink>
    </w:p>
    <w:p>
      <w:pPr>
        <w:tabs>
          <w:tab w:val="left" w:pos="1160"/>
        </w:tabs>
        <w:spacing w:after="20" w:before="0"/>
        <w:ind w:left="560"/>
      </w:pPr>
      <w:hyperlink w:history="1" w:anchor="bm_nov_gap">
        <w:r>
          <w:rPr>
            <w:b w:val="false"/>
            <w:bCs w:val="false"/>
            <w:color w:val="2A78D6"/>
            <w:sz w:val="19"/>
            <w:szCs w:val="19"/>
          </w:rPr>
          <w:t xml:space="preserve">9.1</w:t>
        </w:r>
        <w:r>
          <w:rPr>
            <w:b w:val="false"/>
            <w:bCs w:val="false"/>
            <w:color w:val="1F2937"/>
            <w:sz w:val="19"/>
            <w:szCs w:val="19"/>
          </w:rPr>
          <w:t xml:space="preserve">	The research gap</w:t>
        </w:r>
      </w:hyperlink>
    </w:p>
    <w:p>
      <w:pPr>
        <w:tabs>
          <w:tab w:val="left" w:pos="1160"/>
        </w:tabs>
        <w:spacing w:after="20" w:before="0"/>
        <w:ind w:left="560"/>
      </w:pPr>
      <w:hyperlink w:history="1" w:anchor="bm_nov_six">
        <w:r>
          <w:rPr>
            <w:b w:val="false"/>
            <w:bCs w:val="false"/>
            <w:color w:val="2A78D6"/>
            <w:sz w:val="19"/>
            <w:szCs w:val="19"/>
          </w:rPr>
          <w:t xml:space="preserve">9.2</w:t>
        </w:r>
        <w:r>
          <w:rPr>
            <w:b w:val="false"/>
            <w:bCs w:val="false"/>
            <w:color w:val="1F2937"/>
            <w:sz w:val="19"/>
            <w:szCs w:val="19"/>
          </w:rPr>
          <w:t xml:space="preserve">	Six differentiators</w:t>
        </w:r>
      </w:hyperlink>
    </w:p>
    <w:p>
      <w:pPr>
        <w:tabs>
          <w:tab w:val="left" w:pos="1160"/>
        </w:tabs>
        <w:spacing w:after="20" w:before="0"/>
        <w:ind w:left="560"/>
      </w:pPr>
      <w:hyperlink w:history="1" w:anchor="bm_nov_compare">
        <w:r>
          <w:rPr>
            <w:b w:val="false"/>
            <w:bCs w:val="false"/>
            <w:color w:val="2A78D6"/>
            <w:sz w:val="19"/>
            <w:szCs w:val="19"/>
          </w:rPr>
          <w:t xml:space="preserve">9.3</w:t>
        </w:r>
        <w:r>
          <w:rPr>
            <w:b w:val="false"/>
            <w:bCs w:val="false"/>
            <w:color w:val="1F2937"/>
            <w:sz w:val="19"/>
            <w:szCs w:val="19"/>
          </w:rPr>
          <w:t xml:space="preserve">	Comparison with existing approaches</w:t>
        </w:r>
      </w:hyperlink>
    </w:p>
    <w:p>
      <w:pPr>
        <w:tabs>
          <w:tab w:val="left" w:pos="1160"/>
        </w:tabs>
        <w:spacing w:after="20" w:before="0"/>
        <w:ind w:left="560"/>
      </w:pPr>
      <w:hyperlink w:history="1" w:anchor="bm_nov_map">
        <w:r>
          <w:rPr>
            <w:b w:val="false"/>
            <w:bCs w:val="false"/>
            <w:color w:val="2A78D6"/>
            <w:sz w:val="19"/>
            <w:szCs w:val="19"/>
          </w:rPr>
          <w:t xml:space="preserve">9.4</w:t>
        </w:r>
        <w:r>
          <w:rPr>
            <w:b w:val="false"/>
            <w:bCs w:val="false"/>
            <w:color w:val="1F2937"/>
            <w:sz w:val="19"/>
            <w:szCs w:val="19"/>
          </w:rPr>
          <w:t xml:space="preserve">	How the research literature maps onto our pipeline</w:t>
        </w:r>
      </w:hyperlink>
    </w:p>
    <w:p>
      <w:pPr>
        <w:tabs>
          <w:tab w:val="left" w:pos="560"/>
        </w:tabs>
        <w:spacing w:after="30" w:before="120"/>
        <w:ind w:left="0"/>
      </w:pPr>
      <w:hyperlink w:history="1" w:anchor="bm_feasibility">
        <w:r>
          <w:rPr>
            <w:b/>
            <w:bCs/>
            <w:color w:val="2A78D6"/>
            <w:sz w:val="21"/>
            <w:szCs w:val="21"/>
          </w:rPr>
          <w:t xml:space="preserve">10</w:t>
        </w:r>
        <w:r>
          <w:rPr>
            <w:b/>
            <w:bCs/>
            <w:color w:val="0B2545"/>
            <w:sz w:val="21"/>
            <w:szCs w:val="21"/>
          </w:rPr>
          <w:t xml:space="preserve">	Feasibility and Viability</w:t>
        </w:r>
      </w:hyperlink>
    </w:p>
    <w:p>
      <w:pPr>
        <w:tabs>
          <w:tab w:val="left" w:pos="1160"/>
        </w:tabs>
        <w:spacing w:after="20" w:before="0"/>
        <w:ind w:left="560"/>
      </w:pPr>
      <w:hyperlink w:history="1" w:anchor="bm_feas_risks">
        <w:r>
          <w:rPr>
            <w:b w:val="false"/>
            <w:bCs w:val="false"/>
            <w:color w:val="2A78D6"/>
            <w:sz w:val="19"/>
            <w:szCs w:val="19"/>
          </w:rPr>
          <w:t xml:space="preserve">10.1</w:t>
        </w:r>
        <w:r>
          <w:rPr>
            <w:b w:val="false"/>
            <w:bCs w:val="false"/>
            <w:color w:val="1F2937"/>
            <w:sz w:val="19"/>
            <w:szCs w:val="19"/>
          </w:rPr>
          <w:t xml:space="preserve">	Risks and mitigations</w:t>
        </w:r>
      </w:hyperlink>
    </w:p>
    <w:p>
      <w:pPr>
        <w:tabs>
          <w:tab w:val="left" w:pos="560"/>
        </w:tabs>
        <w:spacing w:after="30" w:before="120"/>
        <w:ind w:left="0"/>
      </w:pPr>
      <w:hyperlink w:history="1" w:anchor="bm_scale">
        <w:r>
          <w:rPr>
            <w:b/>
            <w:bCs/>
            <w:color w:val="2A78D6"/>
            <w:sz w:val="21"/>
            <w:szCs w:val="21"/>
          </w:rPr>
          <w:t xml:space="preserve">11</w:t>
        </w:r>
        <w:r>
          <w:rPr>
            <w:b/>
            <w:bCs/>
            <w:color w:val="0B2545"/>
            <w:sz w:val="21"/>
            <w:szCs w:val="21"/>
          </w:rPr>
          <w:t xml:space="preserve">	Scalability and Future Roadmap</w:t>
        </w:r>
      </w:hyperlink>
    </w:p>
    <w:p>
      <w:pPr>
        <w:tabs>
          <w:tab w:val="left" w:pos="1160"/>
        </w:tabs>
        <w:spacing w:after="20" w:before="0"/>
        <w:ind w:left="560"/>
      </w:pPr>
      <w:hyperlink w:history="1" w:anchor="bm_scale_roadmap">
        <w:r>
          <w:rPr>
            <w:b w:val="false"/>
            <w:bCs w:val="false"/>
            <w:color w:val="2A78D6"/>
            <w:sz w:val="19"/>
            <w:szCs w:val="19"/>
          </w:rPr>
          <w:t xml:space="preserve">11.1</w:t>
        </w:r>
        <w:r>
          <w:rPr>
            <w:b w:val="false"/>
            <w:bCs w:val="false"/>
            <w:color w:val="1F2937"/>
            <w:sz w:val="19"/>
            <w:szCs w:val="19"/>
          </w:rPr>
          <w:t xml:space="preserve">	Roadmap</w:t>
        </w:r>
      </w:hyperlink>
    </w:p>
    <w:p>
      <w:pPr>
        <w:tabs>
          <w:tab w:val="left" w:pos="560"/>
        </w:tabs>
        <w:spacing w:after="30" w:before="120"/>
        <w:ind w:left="0"/>
      </w:pPr>
      <w:hyperlink w:history="1" w:anchor="bm_impact">
        <w:r>
          <w:rPr>
            <w:b/>
            <w:bCs/>
            <w:color w:val="2A78D6"/>
            <w:sz w:val="21"/>
            <w:szCs w:val="21"/>
          </w:rPr>
          <w:t xml:space="preserve">12</w:t>
        </w:r>
        <w:r>
          <w:rPr>
            <w:b/>
            <w:bCs/>
            <w:color w:val="0B2545"/>
            <w:sz w:val="21"/>
            <w:szCs w:val="21"/>
          </w:rPr>
          <w:t xml:space="preserve">	Impact and Benefits</w:t>
        </w:r>
      </w:hyperlink>
    </w:p>
    <w:p>
      <w:pPr>
        <w:tabs>
          <w:tab w:val="left" w:pos="1160"/>
        </w:tabs>
        <w:spacing w:after="20" w:before="0"/>
        <w:ind w:left="560"/>
      </w:pPr>
      <w:hyperlink w:history="1" w:anchor="bm_impact_users">
        <w:r>
          <w:rPr>
            <w:b w:val="false"/>
            <w:bCs w:val="false"/>
            <w:color w:val="2A78D6"/>
            <w:sz w:val="19"/>
            <w:szCs w:val="19"/>
          </w:rPr>
          <w:t xml:space="preserve">12.1</w:t>
        </w:r>
        <w:r>
          <w:rPr>
            <w:b w:val="false"/>
            <w:bCs w:val="false"/>
            <w:color w:val="1F2937"/>
            <w:sz w:val="19"/>
            <w:szCs w:val="19"/>
          </w:rPr>
          <w:t xml:space="preserve">	Who benefits</w:t>
        </w:r>
      </w:hyperlink>
    </w:p>
    <w:p>
      <w:pPr>
        <w:tabs>
          <w:tab w:val="left" w:pos="1160"/>
        </w:tabs>
        <w:spacing w:after="20" w:before="0"/>
        <w:ind w:left="560"/>
      </w:pPr>
      <w:hyperlink w:history="1" w:anchor="bm_impact_benefits">
        <w:r>
          <w:rPr>
            <w:b w:val="false"/>
            <w:bCs w:val="false"/>
            <w:color w:val="2A78D6"/>
            <w:sz w:val="19"/>
            <w:szCs w:val="19"/>
          </w:rPr>
          <w:t xml:space="preserve">12.2</w:t>
        </w:r>
        <w:r>
          <w:rPr>
            <w:b w:val="false"/>
            <w:bCs w:val="false"/>
            <w:color w:val="1F2937"/>
            <w:sz w:val="19"/>
            <w:szCs w:val="19"/>
          </w:rPr>
          <w:t xml:space="preserve">	Benefits</w:t>
        </w:r>
      </w:hyperlink>
    </w:p>
    <w:p>
      <w:pPr>
        <w:tabs>
          <w:tab w:val="left" w:pos="1160"/>
        </w:tabs>
        <w:spacing w:after="20" w:before="0"/>
        <w:ind w:left="560"/>
      </w:pPr>
      <w:hyperlink w:history="1" w:anchor="bm_impact_fra">
        <w:r>
          <w:rPr>
            <w:b w:val="false"/>
            <w:bCs w:val="false"/>
            <w:color w:val="2A78D6"/>
            <w:sz w:val="19"/>
            <w:szCs w:val="19"/>
          </w:rPr>
          <w:t xml:space="preserve">12.3</w:t>
        </w:r>
        <w:r>
          <w:rPr>
            <w:b w:val="false"/>
            <w:bCs w:val="false"/>
            <w:color w:val="1F2937"/>
            <w:sz w:val="19"/>
            <w:szCs w:val="19"/>
          </w:rPr>
          <w:t xml:space="preserve">	Application case study — supporting Forest Rights Act claims (proposed extension)</w:t>
        </w:r>
      </w:hyperlink>
    </w:p>
    <w:p>
      <w:pPr>
        <w:tabs>
          <w:tab w:val="left" w:pos="560"/>
        </w:tabs>
        <w:spacing w:after="30" w:before="120"/>
        <w:ind w:left="0"/>
      </w:pPr>
      <w:hyperlink w:history="1" w:anchor="bm_adr">
        <w:r>
          <w:rPr>
            <w:b/>
            <w:bCs/>
            <w:color w:val="2A78D6"/>
            <w:sz w:val="21"/>
            <w:szCs w:val="21"/>
          </w:rPr>
          <w:t xml:space="preserve">13</w:t>
        </w:r>
        <w:r>
          <w:rPr>
            <w:b/>
            <w:bCs/>
            <w:color w:val="0B2545"/>
            <w:sz w:val="21"/>
            <w:szCs w:val="21"/>
          </w:rPr>
          <w:t xml:space="preserve">	Key Design Decisions</w:t>
        </w:r>
      </w:hyperlink>
    </w:p>
    <w:p>
      <w:pPr>
        <w:tabs>
          <w:tab w:val="left" w:pos="1160"/>
        </w:tabs>
        <w:spacing w:after="20" w:before="0"/>
        <w:ind w:left="560"/>
      </w:pPr>
      <w:hyperlink w:history="1" w:anchor="bm_adr_honesty">
        <w:r>
          <w:rPr>
            <w:b w:val="false"/>
            <w:bCs w:val="false"/>
            <w:color w:val="2A78D6"/>
            <w:sz w:val="19"/>
            <w:szCs w:val="19"/>
          </w:rPr>
          <w:t xml:space="preserve">13.1</w:t>
        </w:r>
        <w:r>
          <w:rPr>
            <w:b w:val="false"/>
            <w:bCs w:val="false"/>
            <w:color w:val="1F2937"/>
            <w:sz w:val="19"/>
            <w:szCs w:val="19"/>
          </w:rPr>
          <w:t xml:space="preserve">	What is real and what is simulated</w:t>
        </w:r>
      </w:hyperlink>
    </w:p>
    <w:p>
      <w:pPr>
        <w:tabs>
          <w:tab w:val="left" w:pos="560"/>
        </w:tabs>
        <w:spacing w:after="30" w:before="120"/>
        <w:ind w:left="0"/>
      </w:pPr>
      <w:hyperlink w:history="1" w:anchor="bm_team">
        <w:r>
          <w:rPr>
            <w:b/>
            <w:bCs/>
            <w:color w:val="2A78D6"/>
            <w:sz w:val="21"/>
            <w:szCs w:val="21"/>
          </w:rPr>
          <w:t xml:space="preserve">14</w:t>
        </w:r>
        <w:r>
          <w:rPr>
            <w:b/>
            <w:bCs/>
            <w:color w:val="0B2545"/>
            <w:sz w:val="21"/>
            <w:szCs w:val="21"/>
          </w:rPr>
          <w:t xml:space="preserve">	Team BUGHEBUG</w:t>
        </w:r>
      </w:hyperlink>
    </w:p>
    <w:p>
      <w:pPr>
        <w:tabs>
          <w:tab w:val="left" w:pos="1160"/>
        </w:tabs>
        <w:spacing w:after="20" w:before="0"/>
        <w:ind w:left="560"/>
      </w:pPr>
      <w:hyperlink w:history="1" w:anchor="bm_team_qa">
        <w:r>
          <w:rPr>
            <w:b w:val="false"/>
            <w:bCs w:val="false"/>
            <w:color w:val="2A78D6"/>
            <w:sz w:val="19"/>
            <w:szCs w:val="19"/>
          </w:rPr>
          <w:t xml:space="preserve">14.1</w:t>
        </w:r>
        <w:r>
          <w:rPr>
            <w:b w:val="false"/>
            <w:bCs w:val="false"/>
            <w:color w:val="1F2937"/>
            <w:sz w:val="19"/>
            <w:szCs w:val="19"/>
          </w:rPr>
          <w:t xml:space="preserve">	Anticipated questions</w:t>
        </w:r>
      </w:hyperlink>
    </w:p>
    <w:p>
      <w:pPr>
        <w:tabs>
          <w:tab w:val="left" w:pos="560"/>
        </w:tabs>
        <w:spacing w:after="30" w:before="120"/>
        <w:ind w:left="0"/>
      </w:pPr>
      <w:hyperlink w:history="1" w:anchor="bm_refs">
        <w:r>
          <w:rPr>
            <w:b/>
            <w:bCs/>
            <w:color w:val="2A78D6"/>
            <w:sz w:val="21"/>
            <w:szCs w:val="21"/>
          </w:rPr>
          <w:t xml:space="preserve">15</w:t>
        </w:r>
        <w:r>
          <w:rPr>
            <w:b/>
            <w:bCs/>
            <w:color w:val="0B2545"/>
            <w:sz w:val="21"/>
            <w:szCs w:val="21"/>
          </w:rPr>
          <w:t xml:space="preserve">	Research and References</w:t>
        </w:r>
      </w:hyperlink>
    </w:p>
    <w:p>
      <w:pPr>
        <w:tabs>
          <w:tab w:val="left" w:pos="560"/>
        </w:tabs>
        <w:spacing w:after="30" w:before="120"/>
        <w:ind w:left="0"/>
      </w:pPr>
      <w:hyperlink w:history="1" w:anchor="bm_glossary">
        <w:r>
          <w:rPr>
            <w:b/>
            <w:bCs/>
            <w:color w:val="2A78D6"/>
            <w:sz w:val="21"/>
            <w:szCs w:val="21"/>
          </w:rPr>
          <w:t xml:space="preserve"/>
        </w:r>
        <w:r>
          <w:rPr>
            <w:b/>
            <w:bCs/>
            <w:color w:val="0B2545"/>
            <w:sz w:val="21"/>
            <w:szCs w:val="21"/>
          </w:rPr>
          <w:t xml:space="preserve">	Appendix A — Glossary</w:t>
        </w:r>
      </w:hyperlink>
    </w:p>
    <w:p>
      <w:pPr>
        <w:tabs>
          <w:tab w:val="left" w:pos="560"/>
        </w:tabs>
        <w:spacing w:after="30" w:before="120"/>
        <w:ind w:left="0"/>
      </w:pPr>
      <w:hyperlink w:history="1" w:anchor="bm_repro">
        <w:r>
          <w:rPr>
            <w:b/>
            <w:bCs/>
            <w:color w:val="2A78D6"/>
            <w:sz w:val="21"/>
            <w:szCs w:val="21"/>
          </w:rPr>
          <w:t xml:space="preserve"/>
        </w:r>
        <w:r>
          <w:rPr>
            <w:b/>
            <w:bCs/>
            <w:color w:val="0B2545"/>
            <w:sz w:val="21"/>
            <w:szCs w:val="21"/>
          </w:rPr>
          <w:t xml:space="preserve">	Appendix B — Reproducing the Results</w:t>
        </w:r>
      </w:hyperlink>
    </w:p>
    <w:p>
      <w:pPr>
        <w:pStyle w:val="Heading1"/>
        <w:pageBreakBefore/>
        <w:pBdr>
          <w:bottom w:val="single" w:color="0B2545" w:sz="18" w:space="4"/>
        </w:pBdr>
      </w:pPr>
      <w:bookmarkStart w:name="bm_exec" w:id="1"/>
      <w:r>
        <w:t xml:space="preserve">Executive Summary</w:t>
      </w:r>
      <w:bookmarkEnd w:id="1"/>
    </w:p>
    <w:p>
      <w:pPr>
        <w:jc w:val="both"/>
      </w:pPr>
      <w:r>
        <w:t xml:space="preserve">Satellite imagery answers questions that matter to India every day — how far a flood has spread, how much a city has grown, whether a forest is intact — but today each answer needs a specialist who knows which software, model and parameters to use. </w:t>
      </w:r>
      <w:r>
        <w:rPr>
          <w:b/>
          <w:bCs/>
        </w:rPr>
        <w:t xml:space="preserve">SatQuery AI removes that barrier.</w:t>
      </w:r>
      <w:r>
        <w:t xml:space="preserve"> A user uploads imagery and asks in plain English; the system picks the right remote-sensing specialist, checks that the imagery can answer the question, and returns the answer with its evidence: a map, a calibrated confidence value and an auditable record of exactly what ran.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none" w:color="FFFFFF" w:sz="0"/>
              <w:left w:val="single" w:color="EDA100" w:sz="30"/>
              <w:bottom w:val="none" w:color="FFFFFF" w:sz="0"/>
              <w:right w:val="none" w:color="FFFFFF" w:sz="0"/>
            </w:tcBorders>
            <w:shd w:fill="FFF8E6" w:color="auto" w:val="clear"/>
            <w:tcMar>
              <w:top w:type="dxa" w:w="120"/>
              <w:left w:type="dxa" w:w="180"/>
              <w:bottom w:type="dxa" w:w="120"/>
              <w:right w:type="dxa" w:w="180"/>
            </w:tcMar>
          </w:tcPr>
          <w:p>
            <w:pPr>
              <w:spacing w:after="60"/>
            </w:pPr>
            <w:r>
              <w:rPr>
                <w:rFonts w:ascii="Segoe UI" w:cs="Segoe UI" w:eastAsia="Segoe UI" w:hAnsi="Segoe UI"/>
                <w:b/>
                <w:bCs/>
                <w:color w:val="0B2545"/>
                <w:spacing w:val="20"/>
                <w:sz w:val="17"/>
                <w:szCs w:val="17"/>
              </w:rPr>
              <w:t xml:space="preserve">THE RULE THAT GOVERNS THE WHOLE DESIGN</w:t>
            </w:r>
          </w:p>
          <w:p>
            <w:pPr>
              <w:spacing w:after="0"/>
            </w:pPr>
            <w:r>
              <w:rPr>
                <w:b/>
                <w:bCs/>
              </w:rPr>
              <w:t xml:space="preserve">Vision models produce the facts. The language layer only phrases them. Never the reverse.</w:t>
            </w:r>
            <w:r>
              <w:t xml:space="preserve"> The component that writes the answer receives validated measurements and never sees a pixel, so it cannot invent a number that no model measured.</w:t>
            </w:r>
          </w:p>
        </w:tc>
      </w:tr>
    </w:tbl>
    <w:p>
      <w:pPr>
        <w:spacing w:after="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6"/>
        <w:gridCol w:w="2436"/>
        <w:gridCol w:w="2436"/>
        <w:gridCol w:w="2438"/>
      </w:tblGrid>
      <w:tr>
        <w:tc>
          <w:tcPr>
            <w:tcW w:type="dxa" w:w="2436"/>
            <w:tcBorders>
              <w:top w:val="single" w:color="2A78D6" w:sz="24"/>
              <w:left w:val="single" w:color="D8DDE5" w:sz="4"/>
              <w:bottom w:val="single" w:color="D8DDE5" w:sz="4"/>
              <w:right w:val="single" w:color="D8DDE5" w:sz="4"/>
            </w:tcBorders>
            <w:shd w:fill="FBFCFD" w:color="auto" w:val="clear"/>
            <w:tcMar>
              <w:top w:type="dxa" w:w="100"/>
              <w:left w:type="dxa" w:w="120"/>
              <w:bottom w:type="dxa" w:w="100"/>
              <w:right w:type="dxa" w:w="120"/>
            </w:tcMar>
          </w:tcPr>
          <w:p>
            <w:pPr>
              <w:spacing w:after="40"/>
            </w:pPr>
            <w:r>
              <w:rPr>
                <w:rFonts w:ascii="Segoe UI" w:cs="Segoe UI" w:eastAsia="Segoe UI" w:hAnsi="Segoe UI"/>
                <w:b/>
                <w:bCs/>
                <w:color w:val="0B2545"/>
                <w:sz w:val="28"/>
                <w:szCs w:val="28"/>
              </w:rPr>
              <w:t xml:space="preserve">+13.3 pts</w:t>
            </w:r>
          </w:p>
          <w:p>
            <w:pPr>
              <w:spacing w:after="0" w:line="240"/>
            </w:pPr>
            <w:r>
              <w:rPr>
                <w:color w:val="6B7280"/>
                <w:sz w:val="16"/>
                <w:szCs w:val="16"/>
              </w:rPr>
              <w:t xml:space="preserve">Measured gain from remote-sensing adaptation (VQA 0.527 → 0.660)</w:t>
            </w:r>
          </w:p>
        </w:tc>
        <w:tc>
          <w:tcPr>
            <w:tcW w:type="dxa" w:w="2436"/>
            <w:tcBorders>
              <w:top w:val="single" w:color="2A78D6" w:sz="24"/>
              <w:left w:val="single" w:color="D8DDE5" w:sz="4"/>
              <w:bottom w:val="single" w:color="D8DDE5" w:sz="4"/>
              <w:right w:val="single" w:color="D8DDE5" w:sz="4"/>
            </w:tcBorders>
            <w:shd w:fill="FBFCFD" w:color="auto" w:val="clear"/>
            <w:tcMar>
              <w:top w:type="dxa" w:w="100"/>
              <w:left w:type="dxa" w:w="120"/>
              <w:bottom w:type="dxa" w:w="100"/>
              <w:right w:type="dxa" w:w="120"/>
            </w:tcMar>
          </w:tcPr>
          <w:p>
            <w:pPr>
              <w:spacing w:after="40"/>
            </w:pPr>
            <w:r>
              <w:rPr>
                <w:rFonts w:ascii="Segoe UI" w:cs="Segoe UI" w:eastAsia="Segoe UI" w:hAnsi="Segoe UI"/>
                <w:b/>
                <w:bCs/>
                <w:color w:val="0B2545"/>
                <w:sz w:val="28"/>
                <w:szCs w:val="28"/>
              </w:rPr>
              <w:t xml:space="preserve">p = 1.2e-35</w:t>
            </w:r>
          </w:p>
          <w:p>
            <w:pPr>
              <w:spacing w:after="0" w:line="240"/>
            </w:pPr>
            <w:r>
              <w:rPr>
                <w:color w:val="6B7280"/>
                <w:sz w:val="16"/>
                <w:szCs w:val="16"/>
              </w:rPr>
              <w:t xml:space="preserve">Paired McNemar significance of that gain on 2,000 held-out items</w:t>
            </w:r>
          </w:p>
        </w:tc>
        <w:tc>
          <w:tcPr>
            <w:tcW w:type="dxa" w:w="2436"/>
            <w:tcBorders>
              <w:top w:val="single" w:color="2A78D6" w:sz="24"/>
              <w:left w:val="single" w:color="D8DDE5" w:sz="4"/>
              <w:bottom w:val="single" w:color="D8DDE5" w:sz="4"/>
              <w:right w:val="single" w:color="D8DDE5" w:sz="4"/>
            </w:tcBorders>
            <w:shd w:fill="FBFCFD" w:color="auto" w:val="clear"/>
            <w:tcMar>
              <w:top w:type="dxa" w:w="100"/>
              <w:left w:type="dxa" w:w="120"/>
              <w:bottom w:type="dxa" w:w="100"/>
              <w:right w:type="dxa" w:w="120"/>
            </w:tcMar>
          </w:tcPr>
          <w:p>
            <w:pPr>
              <w:spacing w:after="40"/>
            </w:pPr>
            <w:r>
              <w:rPr>
                <w:rFonts w:ascii="Segoe UI" w:cs="Segoe UI" w:eastAsia="Segoe UI" w:hAnsi="Segoe UI"/>
                <w:b/>
                <w:bCs/>
                <w:color w:val="0B2545"/>
                <w:sz w:val="28"/>
                <w:szCs w:val="28"/>
              </w:rPr>
              <w:t xml:space="preserve">0.107 %</w:t>
            </w:r>
          </w:p>
          <w:p>
            <w:pPr>
              <w:spacing w:after="0" w:line="240"/>
            </w:pPr>
            <w:r>
              <w:rPr>
                <w:color w:val="6B7280"/>
                <w:sz w:val="16"/>
                <w:szCs w:val="16"/>
              </w:rPr>
              <w:t xml:space="preserve">Share of model parameters trained (QLoRA adapter, 20 MB)</w:t>
            </w:r>
          </w:p>
        </w:tc>
        <w:tc>
          <w:tcPr>
            <w:tcW w:type="dxa" w:w="2438"/>
            <w:tcBorders>
              <w:top w:val="single" w:color="2A78D6" w:sz="24"/>
              <w:left w:val="single" w:color="D8DDE5" w:sz="4"/>
              <w:bottom w:val="single" w:color="D8DDE5" w:sz="4"/>
              <w:right w:val="single" w:color="D8DDE5" w:sz="4"/>
            </w:tcBorders>
            <w:shd w:fill="FBFCFD" w:color="auto" w:val="clear"/>
            <w:tcMar>
              <w:top w:type="dxa" w:w="100"/>
              <w:left w:type="dxa" w:w="120"/>
              <w:bottom w:type="dxa" w:w="100"/>
              <w:right w:type="dxa" w:w="120"/>
            </w:tcMar>
          </w:tcPr>
          <w:p>
            <w:pPr>
              <w:spacing w:after="40"/>
            </w:pPr>
            <w:r>
              <w:rPr>
                <w:rFonts w:ascii="Segoe UI" w:cs="Segoe UI" w:eastAsia="Segoe UI" w:hAnsi="Segoe UI"/>
                <w:b/>
                <w:bCs/>
                <w:color w:val="0B2545"/>
                <w:sz w:val="28"/>
                <w:szCs w:val="28"/>
              </w:rPr>
              <w:t xml:space="preserve">0 of 29,614</w:t>
            </w:r>
          </w:p>
          <w:p>
            <w:pPr>
              <w:spacing w:after="0" w:line="240"/>
            </w:pPr>
            <w:r>
              <w:rPr>
                <w:color w:val="6B7280"/>
                <w:sz w:val="16"/>
                <w:szCs w:val="16"/>
              </w:rPr>
              <w:t xml:space="preserve">Images shared between training and evaluation splits (counted)</w:t>
            </w:r>
          </w:p>
        </w:tc>
      </w:tr>
    </w:tbl>
    <w:p>
      <w:pPr>
        <w:spacing w:after="160"/>
      </w:pPr>
    </w:p>
    <w:p>
      <w:pPr>
        <w:pStyle w:val="Heading3"/>
      </w:pPr>
      <w:r>
        <w:t xml:space="preserve">What ISRO asked for, and what we deliver</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7"/>
        <w:gridCol w:w="2924"/>
        <w:gridCol w:w="4386"/>
        <w:gridCol w:w="1949"/>
      </w:tblGrid>
      <w:tr>
        <w:trPr>
          <w:tblHeader/>
        </w:trPr>
        <w:tc>
          <w:tcPr>
            <w:tcW w:type="dxa" w:w="487"/>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w:t>
            </w:r>
          </w:p>
        </w:tc>
        <w:tc>
          <w:tcPr>
            <w:tcW w:type="dxa" w:w="2924"/>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Mandatory capability (PS 26167)</w:t>
            </w:r>
          </w:p>
        </w:tc>
        <w:tc>
          <w:tcPr>
            <w:tcW w:type="dxa" w:w="4386"/>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Our answer</w:t>
            </w:r>
          </w:p>
        </w:tc>
        <w:tc>
          <w:tcPr>
            <w:tcW w:type="dxa" w:w="1949"/>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State</w:t>
            </w:r>
          </w:p>
        </w:tc>
      </w:tr>
      <w:tr>
        <w:trPr>
          <w:cantSplit/>
        </w:trPr>
        <w:tc>
          <w:tcPr>
            <w:tcW w:type="dxa" w:w="487"/>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1</w:t>
            </w:r>
          </w:p>
        </w:tc>
        <w:tc>
          <w:tcPr>
            <w:tcW w:type="dxa" w:w="292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Remote-sensing adaptation of at least one visual / vision-language component</w:t>
            </w:r>
          </w:p>
        </w:tc>
        <w:tc>
          <w:tcPr>
            <w:tcW w:type="dxa" w:w="4386"/>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b/>
                <w:bCs/>
                <w:sz w:val="19"/>
                <w:szCs w:val="19"/>
              </w:rPr>
              <w:t xml:space="preserve">M1</w:t>
            </w:r>
            <w:r>
              <w:rPr>
                <w:sz w:val="19"/>
                <w:szCs w:val="19"/>
              </w:rPr>
              <w:t xml:space="preserve">: a QLoRA adapter on Qwen2-VL-7B trained on VRSBench; zero-shot 0.5270 → adapted 0.6600</w:t>
            </w:r>
          </w:p>
        </w:tc>
        <w:tc>
          <w:tcPr>
            <w:tcW w:type="dxa" w:w="194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b/>
                <w:bCs/>
                <w:sz w:val="19"/>
                <w:szCs w:val="19"/>
              </w:rPr>
              <w:t xml:space="preserve">Built · Measured</w:t>
            </w:r>
          </w:p>
        </w:tc>
      </w:tr>
      <w:tr>
        <w:trPr>
          <w:cantSplit/>
        </w:trPr>
        <w:tc>
          <w:tcPr>
            <w:tcW w:type="dxa" w:w="487"/>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2</w:t>
            </w:r>
          </w:p>
        </w:tc>
        <w:tc>
          <w:tcPr>
            <w:tcW w:type="dxa" w:w="292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Single-image VQA plus one more single-image task</w:t>
            </w:r>
          </w:p>
        </w:tc>
        <w:tc>
          <w:tcPr>
            <w:tcW w:type="dxa" w:w="4386"/>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VQA (M1 + classical measurement) and text-guided </w:t>
            </w:r>
            <w:r>
              <w:rPr>
                <w:b/>
                <w:bCs/>
                <w:sz w:val="19"/>
                <w:szCs w:val="19"/>
              </w:rPr>
              <w:t xml:space="preserve">region grounding</w:t>
            </w:r>
            <w:r>
              <w:rPr>
                <w:sz w:val="19"/>
                <w:szCs w:val="19"/>
              </w:rPr>
              <w:t xml:space="preserve"> with georeferenced boxes</w:t>
            </w:r>
          </w:p>
        </w:tc>
        <w:tc>
          <w:tcPr>
            <w:tcW w:type="dxa" w:w="194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b/>
                <w:bCs/>
                <w:sz w:val="19"/>
                <w:szCs w:val="19"/>
              </w:rPr>
              <w:t xml:space="preserve">Built</w:t>
            </w:r>
          </w:p>
        </w:tc>
      </w:tr>
      <w:tr>
        <w:trPr>
          <w:cantSplit/>
        </w:trPr>
        <w:tc>
          <w:tcPr>
            <w:tcW w:type="dxa" w:w="487"/>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3</w:t>
            </w:r>
          </w:p>
        </w:tc>
        <w:tc>
          <w:tcPr>
            <w:tcW w:type="dxa" w:w="292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Bi-temporal change analysis</w:t>
            </w:r>
          </w:p>
        </w:tc>
        <w:tc>
          <w:tcPr>
            <w:tcW w:type="dxa" w:w="4386"/>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Change detection, change description and change-VQA with a change map in hectares</w:t>
            </w:r>
          </w:p>
        </w:tc>
        <w:tc>
          <w:tcPr>
            <w:tcW w:type="dxa" w:w="194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b/>
                <w:bCs/>
                <w:sz w:val="19"/>
                <w:szCs w:val="19"/>
              </w:rPr>
              <w:t xml:space="preserve">Built</w:t>
            </w:r>
            <w:r>
              <w:rPr>
                <w:sz w:val="19"/>
                <w:szCs w:val="19"/>
              </w:rPr>
              <w:t xml:space="preserve"> (classical)</w:t>
            </w:r>
          </w:p>
        </w:tc>
      </w:tr>
      <w:tr>
        <w:trPr>
          <w:cantSplit/>
        </w:trPr>
        <w:tc>
          <w:tcPr>
            <w:tcW w:type="dxa" w:w="487"/>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4</w:t>
            </w:r>
          </w:p>
        </w:tc>
        <w:tc>
          <w:tcPr>
            <w:tcW w:type="dxa" w:w="292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Optical–SAR cross-modal analysis</w:t>
            </w:r>
          </w:p>
        </w:tc>
        <w:tc>
          <w:tcPr>
            <w:tcW w:type="dxa" w:w="4386"/>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Separate SAR path (speckle filter, backscatter) and late fusion; quantifies built-up area hidden under cloud</w:t>
            </w:r>
          </w:p>
        </w:tc>
        <w:tc>
          <w:tcPr>
            <w:tcW w:type="dxa" w:w="194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b/>
                <w:bCs/>
                <w:sz w:val="19"/>
                <w:szCs w:val="19"/>
              </w:rPr>
              <w:t xml:space="preserve">Built</w:t>
            </w:r>
            <w:r>
              <w:rPr>
                <w:sz w:val="19"/>
                <w:szCs w:val="19"/>
              </w:rPr>
              <w:t xml:space="preserve"> (classical)</w:t>
            </w:r>
          </w:p>
        </w:tc>
      </w:tr>
      <w:tr>
        <w:trPr>
          <w:cantSplit/>
        </w:trPr>
        <w:tc>
          <w:tcPr>
            <w:tcW w:type="dxa" w:w="487"/>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5</w:t>
            </w:r>
          </w:p>
        </w:tc>
        <w:tc>
          <w:tcPr>
            <w:tcW w:type="dxa" w:w="292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Agentic orchestration</w:t>
            </w:r>
          </w:p>
        </w:tc>
        <w:tc>
          <w:tcPr>
            <w:tcW w:type="dxa" w:w="4386"/>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A constrained router: classify → validate → select from a fixed registry → sequence → execute, with a full execution trace</w:t>
            </w:r>
          </w:p>
        </w:tc>
        <w:tc>
          <w:tcPr>
            <w:tcW w:type="dxa" w:w="194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b/>
                <w:bCs/>
                <w:sz w:val="19"/>
                <w:szCs w:val="19"/>
              </w:rPr>
              <w:t xml:space="preserve">Built</w:t>
            </w:r>
          </w:p>
        </w:tc>
      </w:tr>
    </w:tbl>
    <w:p>
      <w:pPr>
        <w:spacing w:after="160"/>
      </w:pPr>
    </w:p>
    <w:p>
      <w:pPr>
        <w:pStyle w:val="Heading3"/>
      </w:pPr>
      <w:r>
        <w:t xml:space="preserve">Why it is different</w:t>
      </w:r>
    </w:p>
    <w:p>
      <w:pPr>
        <w:pStyle w:val="ListParagraph"/>
        <w:numPr>
          <w:ilvl w:val="0"/>
          <w:numId w:val="2"/>
        </w:numPr>
      </w:pPr>
      <w:r>
        <w:rPr>
          <w:b/>
          <w:bCs/>
        </w:rPr>
        <w:t xml:space="preserve">It refuses impossible questions before any model runs</w:t>
      </w:r>
      <w:r>
        <w:t xml:space="preserve"> — and tells the user what to upload instead.</w:t>
      </w:r>
    </w:p>
    <w:p>
      <w:pPr>
        <w:pStyle w:val="ListParagraph"/>
        <w:numPr>
          <w:ilvl w:val="0"/>
          <w:numId w:val="2"/>
        </w:numPr>
      </w:pPr>
      <w:r>
        <w:rPr>
          <w:b/>
          <w:bCs/>
        </w:rPr>
        <w:t xml:space="preserve">It sees under clouds:</w:t>
      </w:r>
      <w:r>
        <w:t xml:space="preserve"> radar + optical fusion measured 1,466.7 ha of built-up area hidden beneath cloud in the demo.</w:t>
      </w:r>
    </w:p>
    <w:p>
      <w:pPr>
        <w:pStyle w:val="ListParagraph"/>
        <w:numPr>
          <w:ilvl w:val="0"/>
          <w:numId w:val="2"/>
        </w:numPr>
      </w:pPr>
      <w:r>
        <w:rPr>
          <w:b/>
          <w:bCs/>
        </w:rPr>
        <w:t xml:space="preserve">Every number traces to a measurement,</w:t>
      </w:r>
      <w:r>
        <w:t xml:space="preserve"> with calibrated confidence; below the gate, it abstains.</w:t>
      </w:r>
    </w:p>
    <w:p>
      <w:pPr>
        <w:pStyle w:val="ListParagraph"/>
        <w:numPr>
          <w:ilvl w:val="0"/>
          <w:numId w:val="2"/>
        </w:numPr>
      </w:pPr>
      <w:r>
        <w:rPr>
          <w:b/>
          <w:bCs/>
        </w:rPr>
        <w:t xml:space="preserve">It shows an auditable execution trace, not chain-of-thought</w:t>
      </w:r>
      <w:r>
        <w:t xml:space="preserve"> — exactly what ISRO says it evaluates.</w:t>
      </w:r>
    </w:p>
    <w:p>
      <w:pPr>
        <w:pStyle w:val="ListParagraph"/>
        <w:numPr>
          <w:ilvl w:val="0"/>
          <w:numId w:val="2"/>
        </w:numPr>
      </w:pPr>
      <w:r>
        <w:rPr>
          <w:b/>
          <w:bCs/>
        </w:rPr>
        <w:t xml:space="preserve">It runs fully offline on one laptop;</w:t>
      </w:r>
      <w:r>
        <w:t xml:space="preserve"> the only GPU-bound part is isolated behind a fallback.</w:t>
      </w:r>
    </w:p>
    <w:p>
      <w:pPr>
        <w:pStyle w:val="Heading1"/>
        <w:pageBreakBefore/>
        <w:pBdr>
          <w:bottom w:val="single" w:color="0B2545" w:sz="18" w:space="4"/>
        </w:pBdr>
      </w:pPr>
      <w:bookmarkStart w:name="bm_ps" w:id="1"/>
      <w:r>
        <w:t xml:space="preserve">1   Problem Statement Understanding</w:t>
      </w:r>
      <w:bookmarkEnd w:id="1"/>
    </w:p>
    <w:p>
      <w:pPr>
        <w:pStyle w:val="Heading2"/>
      </w:pPr>
      <w:bookmarkStart w:name="bm_ps_record" w:id="1"/>
      <w:r>
        <w:t xml:space="preserve">1.1   The problem statement at a glance</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29"/>
        <w:gridCol w:w="7017"/>
      </w:tblGrid>
      <w:tr>
        <w:trPr>
          <w:tblHeader/>
        </w:trPr>
        <w:tc>
          <w:tcPr>
            <w:tcW w:type="dxa" w:w="2729"/>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Field</w:t>
            </w:r>
          </w:p>
        </w:tc>
        <w:tc>
          <w:tcPr>
            <w:tcW w:type="dxa" w:w="7017"/>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Value</w:t>
            </w:r>
          </w:p>
        </w:tc>
      </w:tr>
      <w:tr>
        <w:trPr>
          <w:cantSplit/>
        </w:trPr>
        <w:tc>
          <w:tcPr>
            <w:tcW w:type="dxa" w:w="272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Problem Statement ID</w:t>
            </w:r>
          </w:p>
        </w:tc>
        <w:tc>
          <w:tcPr>
            <w:tcW w:type="dxa" w:w="7017"/>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26167</w:t>
            </w:r>
          </w:p>
        </w:tc>
      </w:tr>
      <w:tr>
        <w:trPr>
          <w:cantSplit/>
        </w:trPr>
        <w:tc>
          <w:tcPr>
            <w:tcW w:type="dxa" w:w="272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Title</w:t>
            </w:r>
          </w:p>
        </w:tc>
        <w:tc>
          <w:tcPr>
            <w:tcW w:type="dxa" w:w="7017"/>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SatQuery AI — An Interactive Vision-Language Assistant for Multimodal Remote Sensing Image Analysis through Text Queries</w:t>
            </w:r>
          </w:p>
        </w:tc>
      </w:tr>
      <w:tr>
        <w:trPr>
          <w:cantSplit/>
        </w:trPr>
        <w:tc>
          <w:tcPr>
            <w:tcW w:type="dxa" w:w="272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Organisation</w:t>
            </w:r>
          </w:p>
        </w:tc>
        <w:tc>
          <w:tcPr>
            <w:tcW w:type="dxa" w:w="7017"/>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Indian Space Research Organisation (ISRO), Department of Space</w:t>
            </w:r>
          </w:p>
        </w:tc>
      </w:tr>
      <w:tr>
        <w:trPr>
          <w:cantSplit/>
        </w:trPr>
        <w:tc>
          <w:tcPr>
            <w:tcW w:type="dxa" w:w="272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Category / Theme</w:t>
            </w:r>
          </w:p>
        </w:tc>
        <w:tc>
          <w:tcPr>
            <w:tcW w:type="dxa" w:w="7017"/>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Software / Space Technology</w:t>
            </w:r>
          </w:p>
        </w:tc>
      </w:tr>
      <w:tr>
        <w:trPr>
          <w:cantSplit/>
        </w:trPr>
        <w:tc>
          <w:tcPr>
            <w:tcW w:type="dxa" w:w="272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Primary adaptation dataset</w:t>
            </w:r>
          </w:p>
        </w:tc>
        <w:tc>
          <w:tcPr>
            <w:tcW w:type="dxa" w:w="7017"/>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BigEarthNet.txt </w:t>
            </w:r>
            <w:hyperlink w:history="1" w:anchor="bm_ref_1">
              <w:r>
                <w:rPr>
                  <w:color w:val="2A78D6"/>
                  <w:sz w:val="19"/>
                  <w:szCs w:val="19"/>
                </w:rPr>
                <w:t xml:space="preserve">[1]</w:t>
              </w:r>
            </w:hyperlink>
          </w:p>
        </w:tc>
      </w:tr>
      <w:tr>
        <w:trPr>
          <w:cantSplit/>
        </w:trPr>
        <w:tc>
          <w:tcPr>
            <w:tcW w:type="dxa" w:w="272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Public evaluation benchmarks</w:t>
            </w:r>
          </w:p>
        </w:tc>
        <w:tc>
          <w:tcPr>
            <w:tcW w:type="dxa" w:w="7017"/>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VRSBench </w:t>
            </w:r>
            <w:hyperlink w:history="1" w:anchor="bm_ref_4">
              <w:r>
                <w:rPr>
                  <w:color w:val="2A78D6"/>
                  <w:sz w:val="19"/>
                  <w:szCs w:val="19"/>
                </w:rPr>
                <w:t xml:space="preserve">[4]</w:t>
              </w:r>
            </w:hyperlink>
            <w:r>
              <w:rPr>
                <w:sz w:val="19"/>
                <w:szCs w:val="19"/>
              </w:rPr>
              <w:t xml:space="preserve"> and RSVQA </w:t>
            </w:r>
            <w:hyperlink w:history="1" w:anchor="bm_ref_5">
              <w:r>
                <w:rPr>
                  <w:color w:val="2A78D6"/>
                  <w:sz w:val="19"/>
                  <w:szCs w:val="19"/>
                </w:rPr>
                <w:t xml:space="preserve">[5]</w:t>
              </w:r>
            </w:hyperlink>
            <w:r>
              <w:rPr>
                <w:sz w:val="19"/>
                <w:szCs w:val="19"/>
              </w:rPr>
              <w:t xml:space="preserve"> (single image); CDVQA </w:t>
            </w:r>
            <w:hyperlink w:history="1" w:anchor="bm_ref_7">
              <w:r>
                <w:rPr>
                  <w:color w:val="2A78D6"/>
                  <w:sz w:val="19"/>
                  <w:szCs w:val="19"/>
                </w:rPr>
                <w:t xml:space="preserve">[7]</w:t>
              </w:r>
            </w:hyperlink>
            <w:r>
              <w:rPr>
                <w:sz w:val="19"/>
                <w:szCs w:val="19"/>
              </w:rPr>
              <w:t xml:space="preserve"> (change)</w:t>
            </w:r>
          </w:p>
        </w:tc>
      </w:tr>
      <w:tr>
        <w:trPr>
          <w:cantSplit/>
        </w:trPr>
        <w:tc>
          <w:tcPr>
            <w:tcW w:type="dxa" w:w="272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Hidden evaluation set</w:t>
            </w:r>
          </w:p>
        </w:tc>
        <w:tc>
          <w:tcPr>
            <w:tcW w:type="dxa" w:w="7017"/>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ISRO/SAC: co-registered Cartosat-2S optical + RISAT SAR pairs; annotations not disclosed</w:t>
            </w:r>
          </w:p>
        </w:tc>
      </w:tr>
    </w:tbl>
    <w:p>
      <w:pPr>
        <w:spacing w:after="160"/>
      </w:pPr>
    </w:p>
    <w:p>
      <w:pPr>
        <w:pStyle w:val="Heading2"/>
      </w:pPr>
      <w:bookmarkStart w:name="bm_ps_plain" w:id="1"/>
      <w:r>
        <w:t xml:space="preserve">1.2   The problem in plain words</w:t>
      </w:r>
      <w:bookmarkEnd w:id="1"/>
    </w:p>
    <w:p>
      <w:pPr>
        <w:jc w:val="both"/>
      </w:pPr>
      <w:r>
        <w:t xml:space="preserve">A district officer wants to know whether construction has increased near a reservoir since 2024. The imagery exists — much of it free — but extracting an answer requires knowing which model applies, how the sensors behave, how GIS software works and which parameters to set. Existing tools are built </w:t>
      </w:r>
      <w:r>
        <w:rPr>
          <w:b/>
          <w:bCs/>
        </w:rPr>
        <w:t xml:space="preserve">one task at a time</w:t>
      </w:r>
      <w:r>
        <w:t xml:space="preserve">: land-cover classification here, building detection there, change detection somewhere else. None of them accepts a question.</w:t>
      </w:r>
    </w:p>
    <w:p>
      <w:pPr>
        <w:keepNext/>
        <w:spacing w:after="0" w:before="120"/>
        <w:jc w:val="center"/>
      </w:pPr>
      <w:r>
        <w:drawing>
          <wp:inline distT="0" distB="0" distL="0" distR="0">
            <wp:extent cx="4829175"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29175" cy="4191000"/>
                    </a:xfrm>
                    <a:prstGeom prst="rect">
                      <a:avLst/>
                    </a:prstGeom>
                  </pic:spPr>
                </pic:pic>
              </a:graphicData>
            </a:graphic>
          </wp:inline>
        </w:drawing>
      </w:r>
    </w:p>
    <w:p>
      <w:pPr>
        <w:keepLines/>
        <w:spacing w:after="220" w:before="60"/>
        <w:jc w:val="center"/>
      </w:pPr>
      <w:r>
        <w:rPr>
          <w:b/>
          <w:bCs/>
          <w:color w:val="0B2545"/>
          <w:sz w:val="17"/>
          <w:szCs w:val="17"/>
        </w:rPr>
        <w:t xml:space="preserve">Figure 1. </w:t>
      </w:r>
      <w:r>
        <w:rPr>
          <w:i/>
          <w:iCs/>
          <w:color w:val="6B7280"/>
          <w:sz w:val="17"/>
          <w:szCs w:val="17"/>
        </w:rPr>
        <w:t xml:space="preserve">Today's workflow compared with the SatQuery AI workflow.</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none" w:color="FFFFFF" w:sz="0"/>
              <w:left w:val="single" w:color="2A78D6" w:sz="30"/>
              <w:bottom w:val="none" w:color="FFFFFF" w:sz="0"/>
              <w:right w:val="none" w:color="FFFFFF" w:sz="0"/>
            </w:tcBorders>
            <w:shd w:fill="EEF4FC" w:color="auto" w:val="clear"/>
            <w:tcMar>
              <w:top w:type="dxa" w:w="120"/>
              <w:left w:type="dxa" w:w="180"/>
              <w:bottom w:type="dxa" w:w="120"/>
              <w:right w:type="dxa" w:w="180"/>
            </w:tcMar>
          </w:tcPr>
          <w:p>
            <w:pPr>
              <w:spacing w:after="60"/>
            </w:pPr>
            <w:r>
              <w:rPr>
                <w:rFonts w:ascii="Segoe UI" w:cs="Segoe UI" w:eastAsia="Segoe UI" w:hAnsi="Segoe UI"/>
                <w:b/>
                <w:bCs/>
                <w:color w:val="0B2545"/>
                <w:spacing w:val="20"/>
                <w:sz w:val="17"/>
                <w:szCs w:val="17"/>
              </w:rPr>
              <w:t xml:space="preserve">THE REAL GAP</w:t>
            </w:r>
          </w:p>
          <w:p>
            <w:pPr>
              <w:spacing w:after="0"/>
            </w:pPr>
            <w:r>
              <w:t xml:space="preserve">The gap is not model capability. It is that </w:t>
            </w:r>
            <w:r>
              <w:rPr>
                <w:b/>
                <w:bCs/>
              </w:rPr>
              <w:t xml:space="preserve">no interface accepts a question, checks whether the imagery can answer it, and shows its working.</w:t>
            </w:r>
          </w:p>
        </w:tc>
      </w:tr>
    </w:tbl>
    <w:p>
      <w:pPr>
        <w:spacing w:after="160"/>
      </w:pPr>
    </w:p>
    <w:p>
      <w:pPr>
        <w:pStyle w:val="Heading2"/>
      </w:pPr>
      <w:bookmarkStart w:name="bm_ps_five" w:id="1"/>
      <w:r>
        <w:t xml:space="preserve">1.3   The five mandatory capabilities</w:t>
      </w:r>
      <w:bookmarkEnd w:id="1"/>
    </w:p>
    <w:p>
      <w:pPr>
        <w:jc w:val="both"/>
      </w:pPr>
      <w:r>
        <w:t xml:space="preserve">The problem statement makes five capabilities compulsory. The system must satisfy all five; the table maps each to where it is addressed in this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5"/>
        <w:gridCol w:w="2339"/>
        <w:gridCol w:w="5068"/>
        <w:gridCol w:w="1754"/>
      </w:tblGrid>
      <w:tr>
        <w:trPr>
          <w:tblHeader/>
        </w:trPr>
        <w:tc>
          <w:tcPr>
            <w:tcW w:type="dxa" w:w="585"/>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w:t>
            </w:r>
          </w:p>
        </w:tc>
        <w:tc>
          <w:tcPr>
            <w:tcW w:type="dxa" w:w="2339"/>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Capability</w:t>
            </w:r>
          </w:p>
        </w:tc>
        <w:tc>
          <w:tcPr>
            <w:tcW w:type="dxa" w:w="5068"/>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What the PS requires</w:t>
            </w:r>
          </w:p>
        </w:tc>
        <w:tc>
          <w:tcPr>
            <w:tcW w:type="dxa" w:w="1754"/>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Section</w:t>
            </w:r>
          </w:p>
        </w:tc>
      </w:tr>
      <w:tr>
        <w:trPr>
          <w:cantSplit/>
        </w:trPr>
        <w:tc>
          <w:tcPr>
            <w:tcW w:type="dxa" w:w="585"/>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R1</w:t>
            </w:r>
          </w:p>
        </w:tc>
        <w:tc>
          <w:tcPr>
            <w:tcW w:type="dxa" w:w="233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Remote-sensing adaptation</w:t>
            </w:r>
          </w:p>
        </w:tc>
        <w:tc>
          <w:tcPr>
            <w:tcW w:type="dxa" w:w="5068"/>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At least one visual or vision-language component fine-tuned or adapted using BigEarthNet.txt </w:t>
            </w:r>
            <w:r>
              <w:rPr>
                <w:b/>
                <w:bCs/>
                <w:sz w:val="19"/>
                <w:szCs w:val="19"/>
              </w:rPr>
              <w:t xml:space="preserve">or any open-source training data</w:t>
            </w:r>
            <w:r>
              <w:rPr>
                <w:sz w:val="19"/>
                <w:szCs w:val="19"/>
              </w:rPr>
              <w:t xml:space="preserve">. “A generic LLM or VLM without remote-sensing adaptation will not satisfy the requirements.”</w:t>
            </w:r>
          </w:p>
        </w:tc>
        <w:tc>
          <w:tcPr>
            <w:tcW w:type="dxa" w:w="175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§4</w:t>
            </w:r>
          </w:p>
        </w:tc>
      </w:tr>
      <w:tr>
        <w:trPr>
          <w:cantSplit/>
        </w:trPr>
        <w:tc>
          <w:tcPr>
            <w:tcW w:type="dxa" w:w="585"/>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R2</w:t>
            </w:r>
          </w:p>
        </w:tc>
        <w:tc>
          <w:tcPr>
            <w:tcW w:type="dxa" w:w="233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Single-image baseline</w:t>
            </w:r>
          </w:p>
        </w:tc>
        <w:tc>
          <w:tcPr>
            <w:tcW w:type="dxa" w:w="5068"/>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VQA mandatory, plus captioning/scene description </w:t>
            </w:r>
            <w:r>
              <w:rPr>
                <w:b/>
                <w:bCs/>
                <w:sz w:val="19"/>
                <w:szCs w:val="19"/>
              </w:rPr>
              <w:t xml:space="preserve">or</w:t>
            </w:r>
            <w:r>
              <w:rPr>
                <w:sz w:val="19"/>
                <w:szCs w:val="19"/>
              </w:rPr>
              <w:t xml:space="preserve"> text-guided region grounding.</w:t>
            </w:r>
          </w:p>
        </w:tc>
        <w:tc>
          <w:tcPr>
            <w:tcW w:type="dxa" w:w="175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§3.5</w:t>
            </w:r>
          </w:p>
        </w:tc>
      </w:tr>
      <w:tr>
        <w:trPr>
          <w:cantSplit/>
        </w:trPr>
        <w:tc>
          <w:tcPr>
            <w:tcW w:type="dxa" w:w="585"/>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R3</w:t>
            </w:r>
          </w:p>
        </w:tc>
        <w:tc>
          <w:tcPr>
            <w:tcW w:type="dxa" w:w="233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Multi-image change analysis</w:t>
            </w:r>
          </w:p>
        </w:tc>
        <w:tc>
          <w:tcPr>
            <w:tcW w:type="dxa" w:w="5068"/>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Change description or change-based VQA from a bi-temporal pair; a change map where masks exist.</w:t>
            </w:r>
          </w:p>
        </w:tc>
        <w:tc>
          <w:tcPr>
            <w:tcW w:type="dxa" w:w="175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§3.5</w:t>
            </w:r>
          </w:p>
        </w:tc>
      </w:tr>
      <w:tr>
        <w:trPr>
          <w:cantSplit/>
        </w:trPr>
        <w:tc>
          <w:tcPr>
            <w:tcW w:type="dxa" w:w="585"/>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R4</w:t>
            </w:r>
          </w:p>
        </w:tc>
        <w:tc>
          <w:tcPr>
            <w:tcW w:type="dxa" w:w="233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Cross-modal pair analysis</w:t>
            </w:r>
          </w:p>
        </w:tc>
        <w:tc>
          <w:tcPr>
            <w:tcW w:type="dxa" w:w="5068"/>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Extract </w:t>
            </w:r>
            <w:r>
              <w:rPr>
                <w:b/>
                <w:bCs/>
                <w:sz w:val="19"/>
                <w:szCs w:val="19"/>
              </w:rPr>
              <w:t xml:space="preserve">complementary</w:t>
            </w:r>
            <w:r>
              <w:rPr>
                <w:sz w:val="19"/>
                <w:szCs w:val="19"/>
              </w:rPr>
              <w:t xml:space="preserve"> information from a co-registered optical/multispectral + SAR pair.</w:t>
            </w:r>
          </w:p>
        </w:tc>
        <w:tc>
          <w:tcPr>
            <w:tcW w:type="dxa" w:w="175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§3.5</w:t>
            </w:r>
          </w:p>
        </w:tc>
      </w:tr>
      <w:tr>
        <w:trPr>
          <w:cantSplit/>
        </w:trPr>
        <w:tc>
          <w:tcPr>
            <w:tcW w:type="dxa" w:w="585"/>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R5</w:t>
            </w:r>
          </w:p>
        </w:tc>
        <w:tc>
          <w:tcPr>
            <w:tcW w:type="dxa" w:w="233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Agentic orchestration</w:t>
            </w:r>
          </w:p>
        </w:tc>
        <w:tc>
          <w:tcPr>
            <w:tcW w:type="dxa" w:w="5068"/>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Automatically select, sequence and execute specialist models/tools from a </w:t>
            </w:r>
            <w:r>
              <w:rPr>
                <w:b/>
                <w:bCs/>
                <w:sz w:val="19"/>
                <w:szCs w:val="19"/>
              </w:rPr>
              <w:t xml:space="preserve">predefined registry</w:t>
            </w:r>
            <w:r>
              <w:rPr>
                <w:sz w:val="19"/>
                <w:szCs w:val="19"/>
              </w:rPr>
              <w:t xml:space="preserve">, with </w:t>
            </w:r>
            <w:r>
              <w:rPr>
                <w:b/>
                <w:bCs/>
                <w:sz w:val="19"/>
                <w:szCs w:val="19"/>
              </w:rPr>
              <w:t xml:space="preserve">only permitted parameters</w:t>
            </w:r>
            <w:r>
              <w:rPr>
                <w:sz w:val="19"/>
                <w:szCs w:val="19"/>
              </w:rPr>
              <w:t xml:space="preserve">, and emit an auditable execution summary.</w:t>
            </w:r>
          </w:p>
        </w:tc>
        <w:tc>
          <w:tcPr>
            <w:tcW w:type="dxa" w:w="175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§3.4</w:t>
            </w:r>
          </w:p>
        </w:tc>
      </w:tr>
    </w:tbl>
    <w:p>
      <w:pPr>
        <w:spacing w:after="160"/>
      </w:pPr>
    </w:p>
    <w:p>
      <w:pPr>
        <w:pStyle w:val="Heading2"/>
      </w:pPr>
      <w:bookmarkStart w:name="bm_ps_inputs" w:id="1"/>
      <w:r>
        <w:t xml:space="preserve">1.4   The three input modes</w:t>
      </w:r>
      <w:bookmarkEnd w:id="1"/>
    </w:p>
    <w:p>
      <w:pPr>
        <w:keepNext/>
        <w:spacing w:after="0" w:before="120"/>
        <w:jc w:val="center"/>
      </w:pPr>
      <w:r>
        <w:drawing>
          <wp:inline distT="0" distB="0" distL="0" distR="0">
            <wp:extent cx="618172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81725" cy="2857500"/>
                    </a:xfrm>
                    <a:prstGeom prst="rect">
                      <a:avLst/>
                    </a:prstGeom>
                  </pic:spPr>
                </pic:pic>
              </a:graphicData>
            </a:graphic>
          </wp:inline>
        </w:drawing>
      </w:r>
    </w:p>
    <w:p>
      <w:pPr>
        <w:keepLines/>
        <w:spacing w:after="220" w:before="60"/>
        <w:jc w:val="center"/>
      </w:pPr>
      <w:r>
        <w:rPr>
          <w:b/>
          <w:bCs/>
          <w:color w:val="0B2545"/>
          <w:sz w:val="17"/>
          <w:szCs w:val="17"/>
        </w:rPr>
        <w:t xml:space="preserve">Figure 2. </w:t>
      </w:r>
      <w:r>
        <w:rPr>
          <w:i/>
          <w:iCs/>
          <w:color w:val="6B7280"/>
          <w:sz w:val="17"/>
          <w:szCs w:val="17"/>
        </w:rPr>
        <w:t xml:space="preserve">The three input configurations defined by the problem statement and the tasks each one supports.</w:t>
      </w:r>
    </w:p>
    <w:p>
      <w:pPr>
        <w:pStyle w:val="Heading2"/>
      </w:pPr>
      <w:bookmarkStart w:name="bm_ps_queries" w:id="1"/>
      <w:r>
        <w:t xml:space="preserve">1.5   Representative queries and how SatQuery routes them</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91"/>
        <w:gridCol w:w="1657"/>
        <w:gridCol w:w="1657"/>
        <w:gridCol w:w="2241"/>
      </w:tblGrid>
      <w:tr>
        <w:trPr>
          <w:tblHeader/>
        </w:trPr>
        <w:tc>
          <w:tcPr>
            <w:tcW w:type="dxa" w:w="4191"/>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Representative query (from the PS)</w:t>
            </w:r>
          </w:p>
        </w:tc>
        <w:tc>
          <w:tcPr>
            <w:tcW w:type="dxa" w:w="1657"/>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Task classified</w:t>
            </w:r>
          </w:p>
        </w:tc>
        <w:tc>
          <w:tcPr>
            <w:tcW w:type="dxa" w:w="1657"/>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Tool from registry</w:t>
            </w:r>
          </w:p>
        </w:tc>
        <w:tc>
          <w:tcPr>
            <w:tcW w:type="dxa" w:w="2241"/>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Inputs required</w:t>
            </w:r>
          </w:p>
        </w:tc>
      </w:tr>
      <w:tr>
        <w:trPr>
          <w:cantSplit/>
        </w:trPr>
        <w:tc>
          <w:tcPr>
            <w:tcW w:type="dxa" w:w="4191"/>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“Describe the land-cover and major objects visible in this image.”</w:t>
            </w:r>
          </w:p>
        </w:tc>
        <w:tc>
          <w:tcPr>
            <w:tcW w:type="dxa" w:w="1657"/>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single_vqa</w:t>
            </w:r>
          </w:p>
        </w:tc>
        <w:tc>
          <w:tcPr>
            <w:tcW w:type="dxa" w:w="1657"/>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rFonts w:ascii="Consolas" w:cs="Consolas" w:eastAsia="Consolas" w:hAnsi="Consolas"/>
                <w:sz w:val="17"/>
                <w:szCs w:val="17"/>
                <w:shd w:fill="EEF1F5" w:color="auto" w:val="clear"/>
              </w:rPr>
              <w:t xml:space="preserve">rs_vqa</w:t>
            </w:r>
          </w:p>
        </w:tc>
        <w:tc>
          <w:tcPr>
            <w:tcW w:type="dxa" w:w="2241"/>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one image</w:t>
            </w:r>
          </w:p>
        </w:tc>
      </w:tr>
      <w:tr>
        <w:trPr>
          <w:cantSplit/>
        </w:trPr>
        <w:tc>
          <w:tcPr>
            <w:tcW w:type="dxa" w:w="4191"/>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“Highlight the water body referred to in the query.”</w:t>
            </w:r>
          </w:p>
        </w:tc>
        <w:tc>
          <w:tcPr>
            <w:tcW w:type="dxa" w:w="1657"/>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grounding</w:t>
            </w:r>
          </w:p>
        </w:tc>
        <w:tc>
          <w:tcPr>
            <w:tcW w:type="dxa" w:w="1657"/>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rFonts w:ascii="Consolas" w:cs="Consolas" w:eastAsia="Consolas" w:hAnsi="Consolas"/>
                <w:sz w:val="17"/>
                <w:szCs w:val="17"/>
                <w:shd w:fill="EEF1F5" w:color="auto" w:val="clear"/>
              </w:rPr>
              <w:t xml:space="preserve">grounding</w:t>
            </w:r>
          </w:p>
        </w:tc>
        <w:tc>
          <w:tcPr>
            <w:tcW w:type="dxa" w:w="2241"/>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one image</w:t>
            </w:r>
          </w:p>
        </w:tc>
      </w:tr>
      <w:tr>
        <w:trPr>
          <w:cantSplit/>
        </w:trPr>
        <w:tc>
          <w:tcPr>
            <w:tcW w:type="dxa" w:w="4191"/>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“What changed between these two dates, and where did the change occur?”</w:t>
            </w:r>
          </w:p>
        </w:tc>
        <w:tc>
          <w:tcPr>
            <w:tcW w:type="dxa" w:w="1657"/>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temporal_change</w:t>
            </w:r>
          </w:p>
        </w:tc>
        <w:tc>
          <w:tcPr>
            <w:tcW w:type="dxa" w:w="1657"/>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rFonts w:ascii="Consolas" w:cs="Consolas" w:eastAsia="Consolas" w:hAnsi="Consolas"/>
                <w:sz w:val="17"/>
                <w:szCs w:val="17"/>
                <w:shd w:fill="EEF1F5" w:color="auto" w:val="clear"/>
              </w:rPr>
              <w:t xml:space="preserve">change_vqa</w:t>
            </w:r>
          </w:p>
        </w:tc>
        <w:tc>
          <w:tcPr>
            <w:tcW w:type="dxa" w:w="2241"/>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bi-temporal pair</w:t>
            </w:r>
          </w:p>
        </w:tc>
      </w:tr>
      <w:tr>
        <w:trPr>
          <w:cantSplit/>
        </w:trPr>
        <w:tc>
          <w:tcPr>
            <w:tcW w:type="dxa" w:w="4191"/>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“Use the optical and SAR images together to identify built-up and water-covered regions.”</w:t>
            </w:r>
          </w:p>
        </w:tc>
        <w:tc>
          <w:tcPr>
            <w:tcW w:type="dxa" w:w="1657"/>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cross_modal</w:t>
            </w:r>
          </w:p>
        </w:tc>
        <w:tc>
          <w:tcPr>
            <w:tcW w:type="dxa" w:w="1657"/>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rFonts w:ascii="Consolas" w:cs="Consolas" w:eastAsia="Consolas" w:hAnsi="Consolas"/>
                <w:sz w:val="17"/>
                <w:szCs w:val="17"/>
                <w:shd w:fill="EEF1F5" w:color="auto" w:val="clear"/>
              </w:rPr>
              <w:t xml:space="preserve">optical_sar</w:t>
            </w:r>
          </w:p>
        </w:tc>
        <w:tc>
          <w:tcPr>
            <w:tcW w:type="dxa" w:w="2241"/>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optical + SAR pair</w:t>
            </w:r>
          </w:p>
        </w:tc>
      </w:tr>
      <w:tr>
        <w:trPr>
          <w:cantSplit/>
        </w:trPr>
        <w:tc>
          <w:tcPr>
            <w:tcW w:type="dxa" w:w="4191"/>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“Has the built-up area increased, decreased, or remained unchanged?”</w:t>
            </w:r>
          </w:p>
        </w:tc>
        <w:tc>
          <w:tcPr>
            <w:tcW w:type="dxa" w:w="1657"/>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temporal_change</w:t>
            </w:r>
          </w:p>
        </w:tc>
        <w:tc>
          <w:tcPr>
            <w:tcW w:type="dxa" w:w="1657"/>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rFonts w:ascii="Consolas" w:cs="Consolas" w:eastAsia="Consolas" w:hAnsi="Consolas"/>
                <w:sz w:val="17"/>
                <w:szCs w:val="17"/>
                <w:shd w:fill="EEF1F5" w:color="auto" w:val="clear"/>
              </w:rPr>
              <w:t xml:space="preserve">change_vqa</w:t>
            </w:r>
          </w:p>
        </w:tc>
        <w:tc>
          <w:tcPr>
            <w:tcW w:type="dxa" w:w="2241"/>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bi-temporal pair</w:t>
            </w:r>
          </w:p>
        </w:tc>
      </w:tr>
    </w:tbl>
    <w:p>
      <w:pPr>
        <w:spacing w:after="160"/>
      </w:pPr>
    </w:p>
    <w:p>
      <w:pPr>
        <w:jc w:val="both"/>
      </w:pPr>
      <w:r>
        <w:t xml:space="preserve">The last query is a deliberate trap: it names no date and no second image, yet it can only be answered by comparing two. The router treats a verb of change over a quantity (</w:t>
      </w:r>
      <w:r>
        <w:rPr>
          <w:i/>
          <w:iCs/>
        </w:rPr>
        <w:t xml:space="preserve">increased</w:t>
      </w:r>
      <w:r>
        <w:t xml:space="preserve">, </w:t>
      </w:r>
      <w:r>
        <w:rPr>
          <w:i/>
          <w:iCs/>
        </w:rPr>
        <w:t xml:space="preserve">shrunk</w:t>
      </w:r>
      <w:r>
        <w:t xml:space="preserve">, </w:t>
      </w:r>
      <w:r>
        <w:rPr>
          <w:i/>
          <w:iCs/>
        </w:rPr>
        <w:t xml:space="preserve">encroached</w:t>
      </w:r>
      <w:r>
        <w:t xml:space="preserve">) as a temporal question; routing it to single-image VQA would return a confident area that answers a different question.</w:t>
      </w:r>
    </w:p>
    <w:p>
      <w:pPr>
        <w:pStyle w:val="Heading2"/>
      </w:pPr>
      <w:bookmarkStart w:name="bm_ps_eval" w:id="1"/>
      <w:r>
        <w:t xml:space="preserve">1.6   How the solution will be evaluated — and what the PS does not say</w:t>
      </w:r>
      <w:bookmarkEnd w:id="1"/>
    </w:p>
    <w:p>
      <w:pPr>
        <w:jc w:val="both"/>
      </w:pPr>
      <w:r>
        <w:t xml:space="preserve">Evaluation uses the prescribed public benchmark test splits plus an ISRO/SAC set of pre-georeferenced, co-registered </w:t>
      </w:r>
      <w:r>
        <w:rPr>
          <w:b/>
          <w:bCs/>
        </w:rPr>
        <w:t xml:space="preserve">Cartosat-2S optical and RISAT SAR</w:t>
      </w:r>
      <w:r>
        <w:t xml:space="preserve"> pairs </w:t>
      </w:r>
      <w:hyperlink w:history="1" w:anchor="bm_ref_20">
        <w:r>
          <w:rPr>
            <w:color w:val="2A78D6"/>
          </w:rPr>
          <w:t xml:space="preserve">[20]</w:t>
        </w:r>
      </w:hyperlink>
      <w:hyperlink w:history="1" w:anchor="bm_ref_21">
        <w:r>
          <w:rPr>
            <w:color w:val="2A78D6"/>
          </w:rPr>
          <w:t xml:space="preserve">[21]</w:t>
        </w:r>
      </w:hyperlink>
      <w:r>
        <w:t xml:space="preserve"> whose answers are hidden. Scores are normalised before combining. A careful reading of the official record surfaced three facts that shaped our plan: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86"/>
        <w:gridCol w:w="5360"/>
      </w:tblGrid>
      <w:tr>
        <w:trPr>
          <w:tblHeader/>
        </w:trPr>
        <w:tc>
          <w:tcPr>
            <w:tcW w:type="dxa" w:w="4386"/>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Finding in the official text</w:t>
            </w:r>
          </w:p>
        </w:tc>
        <w:tc>
          <w:tcPr>
            <w:tcW w:type="dxa" w:w="5360"/>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Consequence for our design</w:t>
            </w:r>
          </w:p>
        </w:tc>
      </w:tr>
      <w:tr>
        <w:trPr>
          <w:cantSplit/>
        </w:trPr>
        <w:tc>
          <w:tcPr>
            <w:tcW w:type="dxa" w:w="4386"/>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b/>
                <w:bCs/>
                <w:sz w:val="19"/>
                <w:szCs w:val="19"/>
              </w:rPr>
              <w:t xml:space="preserve">The judging-criteria table is an unfilled placeholder</w:t>
            </w:r>
            <w:r>
              <w:rPr>
                <w:sz w:val="19"/>
                <w:szCs w:val="19"/>
              </w:rPr>
              <w:t xml:space="preserve"> — the text literally reads “Add ‘Evaluation/Judging Criteria’ table here”.</w:t>
            </w:r>
          </w:p>
        </w:tc>
        <w:tc>
          <w:tcPr>
            <w:tcW w:type="dxa" w:w="5360"/>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Weights are unknown. We built a balanced, separately visible and separately measured result for all five capabilities instead of optimising one.</w:t>
            </w:r>
          </w:p>
        </w:tc>
      </w:tr>
      <w:tr>
        <w:trPr>
          <w:cantSplit/>
        </w:trPr>
        <w:tc>
          <w:tcPr>
            <w:tcW w:type="dxa" w:w="4386"/>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b/>
                <w:bCs/>
                <w:sz w:val="19"/>
                <w:szCs w:val="19"/>
              </w:rPr>
              <w:t xml:space="preserve">The dataset field is truncated at 355 characters</w:t>
            </w:r>
            <w:r>
              <w:rPr>
                <w:sz w:val="19"/>
                <w:szCs w:val="19"/>
              </w:rPr>
              <w:t xml:space="preserve">, cutting off ISRO's guidance for VRSBench, RSVQA and CDVQA.</w:t>
            </w:r>
          </w:p>
        </w:tc>
        <w:tc>
          <w:tcPr>
            <w:tcW w:type="dxa" w:w="5360"/>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We default to each benchmark's official published split and never re-split it.</w:t>
            </w:r>
          </w:p>
        </w:tc>
      </w:tr>
      <w:tr>
        <w:trPr>
          <w:cantSplit/>
        </w:trPr>
        <w:tc>
          <w:tcPr>
            <w:tcW w:type="dxa" w:w="4386"/>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b/>
                <w:bCs/>
                <w:sz w:val="19"/>
                <w:szCs w:val="19"/>
              </w:rPr>
              <w:t xml:space="preserve">Only the observable execution trace is evaluated</w:t>
            </w:r>
            <w:r>
              <w:rPr>
                <w:sz w:val="19"/>
                <w:szCs w:val="19"/>
              </w:rPr>
              <w:t xml:space="preserve">; “internal reasoning text is neither required nor evaluated”.</w:t>
            </w:r>
          </w:p>
        </w:tc>
        <w:tc>
          <w:tcPr>
            <w:tcW w:type="dxa" w:w="5360"/>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The interface shows a factual audit log (task, tools, parameters, outputs) and never streams chain-of-thought (ADR-008).</w:t>
            </w:r>
          </w:p>
        </w:tc>
      </w:tr>
      <w:tr>
        <w:trPr>
          <w:cantSplit/>
        </w:trPr>
        <w:tc>
          <w:tcPr>
            <w:tcW w:type="dxa" w:w="4386"/>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b/>
                <w:bCs/>
                <w:sz w:val="19"/>
                <w:szCs w:val="19"/>
              </w:rPr>
              <w:t xml:space="preserve">The scored imagery is Indian, sub-metre and unseen.</w:t>
            </w:r>
          </w:p>
        </w:tc>
        <w:tc>
          <w:tcPr>
            <w:tcW w:type="dxa" w:w="5360"/>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The objective is robustness to unseen data, not a benchmark peak: input validation, calibrated confidence and abstention.</w:t>
            </w:r>
          </w:p>
        </w:tc>
      </w:tr>
    </w:tbl>
    <w:p>
      <w:pPr>
        <w:spacing w:after="160"/>
      </w:pPr>
    </w:p>
    <w:p>
      <w:pPr>
        <w:pStyle w:val="Heading2"/>
      </w:pPr>
      <w:bookmarkStart w:name="bm_ps_hard" w:id="1"/>
      <w:r>
        <w:t xml:space="preserve">1.7   Why this is hard, and why a generic AI model is not enough</w:t>
      </w:r>
      <w:bookmarkEnd w:id="1"/>
    </w:p>
    <w:p>
      <w:pPr>
        <w:jc w:val="both"/>
      </w:pPr>
      <w:r>
        <w:t xml:space="preserve">Any one of the following is a respectable project; the problem statement asks for all three, orchestrated:</w:t>
      </w:r>
    </w:p>
    <w:p>
      <w:pPr>
        <w:pStyle w:val="ListParagraph"/>
        <w:numPr>
          <w:ilvl w:val="0"/>
          <w:numId w:val="3"/>
        </w:numPr>
      </w:pPr>
      <w:r>
        <w:rPr>
          <w:b/>
          <w:bCs/>
        </w:rPr>
        <w:t xml:space="preserve">Two sensor types.</w:t>
      </w:r>
      <w:r>
        <w:t xml:space="preserve"> Optical imagery records reflected sunlight — colour and material. SAR emits its own radar pulse and records </w:t>
      </w:r>
      <w:r>
        <w:rPr>
          <w:i/>
          <w:iCs/>
        </w:rPr>
        <w:t xml:space="preserve">backscatter</w:t>
      </w:r>
      <w:r>
        <w:t xml:space="preserve"> — structure and roughness, through cloud and at night. They are different physical measurements and must be reasoned over together.</w:t>
      </w:r>
    </w:p>
    <w:p>
      <w:pPr>
        <w:pStyle w:val="ListParagraph"/>
        <w:numPr>
          <w:ilvl w:val="0"/>
          <w:numId w:val="3"/>
        </w:numPr>
      </w:pPr>
      <w:r>
        <w:rPr>
          <w:b/>
          <w:bCs/>
        </w:rPr>
        <w:t xml:space="preserve">Time.</w:t>
      </w:r>
      <w:r>
        <w:t xml:space="preserve"> Two images of the same place on different dates, and an understanding of </w:t>
      </w:r>
      <w:r>
        <w:rPr>
          <w:i/>
          <w:iCs/>
        </w:rPr>
        <w:t xml:space="preserve">what</w:t>
      </w:r>
      <w:r>
        <w:t xml:space="preserve"> changed and </w:t>
      </w:r>
      <w:r>
        <w:rPr>
          <w:i/>
          <w:iCs/>
        </w:rPr>
        <w:t xml:space="preserve">where</w:t>
      </w:r>
      <w:r>
        <w:t xml:space="preserve"> — not merely that some pixels differ.</w:t>
      </w:r>
    </w:p>
    <w:p>
      <w:pPr>
        <w:pStyle w:val="ListParagraph"/>
        <w:numPr>
          <w:ilvl w:val="0"/>
          <w:numId w:val="3"/>
        </w:numPr>
      </w:pPr>
      <w:r>
        <w:rPr>
          <w:b/>
          <w:bCs/>
        </w:rPr>
        <w:t xml:space="preserve">Choice, including refusal.</w:t>
      </w:r>
      <w:r>
        <w:t xml:space="preserve"> The system must pick the specialist from the question and the inputs, and must refuse when the inputs cannot support the question.</w:t>
      </w:r>
    </w:p>
    <w:p>
      <w:pPr>
        <w:spacing w:after="60"/>
      </w:pPr>
    </w:p>
    <w:p>
      <w:pPr>
        <w:jc w:val="both"/>
      </w:pPr>
      <w:r>
        <w:t xml:space="preserve">A general-purpose vision-language model (for example GPT-4V) fails for concrete technical reasons: it accepts three colour channels where satellites carry up to thirteen; it reads bright SAR pixels as “bright things” rather than strong backscatter; a building may be four pixels at 10 m resolution; the viewpoint is overhead; a coordinate reference system means nothing to it; and it can state a number that nothing measured. It also needs the internet, which a venue demo cannot rely on. A general language model still has a place — interpreting the query at the front and phrasing verified facts at the end — but </w:t>
      </w:r>
      <w:r>
        <w:rPr>
          <w:b/>
          <w:bCs/>
        </w:rPr>
        <w:t xml:space="preserve">never as the thing that looks at pixels and decides what is there.</w:t>
      </w:r>
    </w:p>
    <w:p>
      <w:pPr>
        <w:pStyle w:val="Heading1"/>
        <w:pageBreakBefore/>
        <w:pBdr>
          <w:bottom w:val="single" w:color="0B2545" w:sz="18" w:space="4"/>
        </w:pBdr>
      </w:pPr>
      <w:bookmarkStart w:name="bm_primer" w:id="1"/>
      <w:r>
        <w:t xml:space="preserve">2   Background Primer — Satellites, Sensors and AI in Plain Words</w:t>
      </w:r>
      <w:bookmarkEnd w:id="1"/>
    </w:p>
    <w:p>
      <w:pPr>
        <w:jc w:val="both"/>
      </w:pPr>
      <w:r>
        <w:t xml:space="preserve">This section gives a reader new to remote sensing the minimum vocabulary needed for the rest of the report.</w:t>
      </w:r>
    </w:p>
    <w:p>
      <w:pPr>
        <w:pStyle w:val="Heading2"/>
      </w:pPr>
      <w:bookmarkStart w:name="bm_primer_sensors" w:id="1"/>
      <w:r>
        <w:t xml:space="preserve">2.1   Two kinds of satellite eyes: optical and SAR</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9"/>
        <w:gridCol w:w="3898"/>
        <w:gridCol w:w="3899"/>
      </w:tblGrid>
      <w:tr>
        <w:trPr>
          <w:tblHeader/>
        </w:trPr>
        <w:tc>
          <w:tcPr>
            <w:tcW w:type="dxa" w:w="1949"/>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p>
        </w:tc>
        <w:tc>
          <w:tcPr>
            <w:tcW w:type="dxa" w:w="3898"/>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Optical / multispectral</w:t>
            </w:r>
          </w:p>
        </w:tc>
        <w:tc>
          <w:tcPr>
            <w:tcW w:type="dxa" w:w="3899"/>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Synthetic Aperture Radar (SAR)</w:t>
            </w:r>
          </w:p>
        </w:tc>
      </w:tr>
      <w:tr>
        <w:trPr>
          <w:cantSplit/>
        </w:trPr>
        <w:tc>
          <w:tcPr>
            <w:tcW w:type="dxa" w:w="194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How it sees</w:t>
            </w:r>
          </w:p>
        </w:tc>
        <w:tc>
          <w:tcPr>
            <w:tcW w:type="dxa" w:w="3898"/>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Records sunlight reflected from the ground, in several wavelength bands (red, green, blue, near-infrared …)</w:t>
            </w:r>
          </w:p>
        </w:tc>
        <w:tc>
          <w:tcPr>
            <w:tcW w:type="dxa" w:w="389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Sends its own microwave pulse and records how much energy bounces back (</w:t>
            </w:r>
            <w:r>
              <w:rPr>
                <w:i/>
                <w:iCs/>
                <w:sz w:val="19"/>
                <w:szCs w:val="19"/>
              </w:rPr>
              <w:t xml:space="preserve">backscatter</w:t>
            </w:r>
            <w:r>
              <w:rPr>
                <w:sz w:val="19"/>
                <w:szCs w:val="19"/>
              </w:rPr>
              <w:t xml:space="preserve">)</w:t>
            </w:r>
          </w:p>
        </w:tc>
      </w:tr>
      <w:tr>
        <w:trPr>
          <w:cantSplit/>
        </w:trPr>
        <w:tc>
          <w:tcPr>
            <w:tcW w:type="dxa" w:w="194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What it tells you</w:t>
            </w:r>
          </w:p>
        </w:tc>
        <w:tc>
          <w:tcPr>
            <w:tcW w:type="dxa" w:w="3898"/>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Colour and material — vegetation, water, soil</w:t>
            </w:r>
          </w:p>
        </w:tc>
        <w:tc>
          <w:tcPr>
            <w:tcW w:type="dxa" w:w="389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Structure, roughness and geometry</w:t>
            </w:r>
          </w:p>
        </w:tc>
      </w:tr>
      <w:tr>
        <w:trPr>
          <w:cantSplit/>
        </w:trPr>
        <w:tc>
          <w:tcPr>
            <w:tcW w:type="dxa" w:w="194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Clouds and night</w:t>
            </w:r>
          </w:p>
        </w:tc>
        <w:tc>
          <w:tcPr>
            <w:tcW w:type="dxa" w:w="3898"/>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Blocked by cloud; needs daylight</w:t>
            </w:r>
          </w:p>
        </w:tc>
        <w:tc>
          <w:tcPr>
            <w:tcW w:type="dxa" w:w="389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Sees through cloud, day and night</w:t>
            </w:r>
          </w:p>
        </w:tc>
      </w:tr>
      <w:tr>
        <w:trPr>
          <w:cantSplit/>
        </w:trPr>
        <w:tc>
          <w:tcPr>
            <w:tcW w:type="dxa" w:w="194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Noise</w:t>
            </w:r>
          </w:p>
        </w:tc>
        <w:tc>
          <w:tcPr>
            <w:tcW w:type="dxa" w:w="3898"/>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Mostly additive sensor noise</w:t>
            </w:r>
          </w:p>
        </w:tc>
        <w:tc>
          <w:tcPr>
            <w:tcW w:type="dxa" w:w="389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i/>
                <w:iCs/>
                <w:sz w:val="19"/>
                <w:szCs w:val="19"/>
              </w:rPr>
              <w:t xml:space="preserve">Speckle</w:t>
            </w:r>
            <w:r>
              <w:rPr>
                <w:sz w:val="19"/>
                <w:szCs w:val="19"/>
              </w:rPr>
              <w:t xml:space="preserve"> — multiplicative noise that needs its own filter (Lee filter </w:t>
            </w:r>
            <w:hyperlink w:history="1" w:anchor="bm_ref_34">
              <w:r>
                <w:rPr>
                  <w:color w:val="2A78D6"/>
                  <w:sz w:val="19"/>
                  <w:szCs w:val="19"/>
                </w:rPr>
                <w:t xml:space="preserve">[34]</w:t>
              </w:r>
            </w:hyperlink>
            <w:r>
              <w:rPr>
                <w:sz w:val="19"/>
                <w:szCs w:val="19"/>
              </w:rPr>
              <w:t xml:space="preserve">)</w:t>
            </w:r>
          </w:p>
        </w:tc>
      </w:tr>
      <w:tr>
        <w:trPr>
          <w:cantSplit/>
        </w:trPr>
        <w:tc>
          <w:tcPr>
            <w:tcW w:type="dxa" w:w="194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Indian missions</w:t>
            </w:r>
          </w:p>
        </w:tc>
        <w:tc>
          <w:tcPr>
            <w:tcW w:type="dxa" w:w="3898"/>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Cartosat-2S </w:t>
            </w:r>
            <w:hyperlink w:history="1" w:anchor="bm_ref_21">
              <w:r>
                <w:rPr>
                  <w:color w:val="2A78D6"/>
                  <w:sz w:val="19"/>
                  <w:szCs w:val="19"/>
                </w:rPr>
                <w:t xml:space="preserve">[21]</w:t>
              </w:r>
            </w:hyperlink>
          </w:p>
        </w:tc>
        <w:tc>
          <w:tcPr>
            <w:tcW w:type="dxa" w:w="389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RISAT / EOS-04 </w:t>
            </w:r>
            <w:hyperlink w:history="1" w:anchor="bm_ref_20">
              <w:r>
                <w:rPr>
                  <w:color w:val="2A78D6"/>
                  <w:sz w:val="19"/>
                  <w:szCs w:val="19"/>
                </w:rPr>
                <w:t xml:space="preserve">[20]</w:t>
              </w:r>
            </w:hyperlink>
          </w:p>
        </w:tc>
      </w:tr>
      <w:tr>
        <w:trPr>
          <w:cantSplit/>
        </w:trPr>
        <w:tc>
          <w:tcPr>
            <w:tcW w:type="dxa" w:w="194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Open data used</w:t>
            </w:r>
          </w:p>
        </w:tc>
        <w:tc>
          <w:tcPr>
            <w:tcW w:type="dxa" w:w="3898"/>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Sentinel-2 </w:t>
            </w:r>
            <w:hyperlink w:history="1" w:anchor="bm_ref_28">
              <w:r>
                <w:rPr>
                  <w:color w:val="2A78D6"/>
                  <w:sz w:val="19"/>
                  <w:szCs w:val="19"/>
                </w:rPr>
                <w:t xml:space="preserve">[28]</w:t>
              </w:r>
            </w:hyperlink>
          </w:p>
        </w:tc>
        <w:tc>
          <w:tcPr>
            <w:tcW w:type="dxa" w:w="389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Sentinel-1 (paired with Sentinel-2 in BigEarthNet.txt </w:t>
            </w:r>
            <w:hyperlink w:history="1" w:anchor="bm_ref_1">
              <w:r>
                <w:rPr>
                  <w:color w:val="2A78D6"/>
                  <w:sz w:val="19"/>
                  <w:szCs w:val="19"/>
                </w:rPr>
                <w:t xml:space="preserve">[1]</w:t>
              </w:r>
            </w:hyperlink>
            <w:r>
              <w:rPr>
                <w:sz w:val="19"/>
                <w:szCs w:val="19"/>
              </w:rPr>
              <w:t xml:space="preserve"> and SEN12MS </w:t>
            </w:r>
            <w:hyperlink w:history="1" w:anchor="bm_ref_18">
              <w:r>
                <w:rPr>
                  <w:color w:val="2A78D6"/>
                  <w:sz w:val="19"/>
                  <w:szCs w:val="19"/>
                </w:rPr>
                <w:t xml:space="preserve">[18]</w:t>
              </w:r>
            </w:hyperlink>
            <w:r>
              <w:rPr>
                <w:sz w:val="19"/>
                <w:szCs w:val="19"/>
              </w:rPr>
              <w:t xml:space="preserve">)</w:t>
            </w:r>
          </w:p>
        </w:tc>
      </w:tr>
    </w:tbl>
    <w:p>
      <w:pPr>
        <w:spacing w:after="160"/>
      </w:pPr>
    </w:p>
    <w:p>
      <w:pPr>
        <w:jc w:val="both"/>
      </w:pPr>
      <w:r>
        <w:rPr>
          <w:b/>
          <w:bCs/>
        </w:rPr>
        <w:t xml:space="preserve">What SAR brightness means.</w:t>
      </w:r>
      <w:r>
        <w:t xml:space="preserve"> Calm water reflects the radar pulse away and looks very dark; smooth bare soil is dark; vegetation scatters diffusely and looks mid-grey; buildings and metal act as corner reflectors and look very bright. This is why a model trained on ordinary photographs misreads radar — and why SatQuery gives SAR its own processing path (ADR-003).</w:t>
      </w:r>
    </w:p>
    <w:p>
      <w:pPr>
        <w:pStyle w:val="Heading2"/>
      </w:pPr>
      <w:bookmarkStart w:name="bm_primer_geo" w:id="1"/>
      <w:r>
        <w:t xml:space="preserve">2.2   Co-registration, GeoTIFF and coordinates</w:t>
      </w:r>
      <w:bookmarkEnd w:id="1"/>
    </w:p>
    <w:p>
      <w:pPr>
        <w:pStyle w:val="ListParagraph"/>
        <w:numPr>
          <w:ilvl w:val="0"/>
          <w:numId w:val="2"/>
        </w:numPr>
      </w:pPr>
      <w:r>
        <w:rPr>
          <w:b/>
          <w:bCs/>
        </w:rPr>
        <w:t xml:space="preserve">Co-registration</w:t>
      </w:r>
      <w:r>
        <w:t xml:space="preserve"> means two images are aligned pixel-for-pixel over the same ground. ISRO's scored pairs arrive already co-registered, so SatQuery </w:t>
      </w:r>
      <w:r>
        <w:rPr>
          <w:i/>
          <w:iCs/>
        </w:rPr>
        <w:t xml:space="preserve">verifies</w:t>
      </w:r>
      <w:r>
        <w:t xml:space="preserve"> alignment (phase correlation, tolerance 2 px) rather than solving it </w:t>
      </w:r>
      <w:hyperlink w:history="1" w:anchor="bm_ref_19">
        <w:r>
          <w:rPr>
            <w:color w:val="2A78D6"/>
          </w:rPr>
          <w:t xml:space="preserve">[19]</w:t>
        </w:r>
      </w:hyperlink>
      <w:r>
        <w:t xml:space="preserve">.</w:t>
      </w:r>
    </w:p>
    <w:p>
      <w:pPr>
        <w:pStyle w:val="ListParagraph"/>
        <w:numPr>
          <w:ilvl w:val="0"/>
          <w:numId w:val="2"/>
        </w:numPr>
      </w:pPr>
      <w:r>
        <w:rPr>
          <w:b/>
          <w:bCs/>
        </w:rPr>
        <w:t xml:space="preserve">GeoTIFF</w:t>
      </w:r>
      <w:r>
        <w:t xml:space="preserve"> is an image file that also carries its location: a </w:t>
      </w:r>
      <w:r>
        <w:rPr>
          <w:i/>
          <w:iCs/>
        </w:rPr>
        <w:t xml:space="preserve">coordinate reference system</w:t>
      </w:r>
      <w:r>
        <w:t xml:space="preserve"> (CRS, e.g. EPSG:4326 latitude/longitude, or UTM in metres) and a </w:t>
      </w:r>
      <w:r>
        <w:rPr>
          <w:i/>
          <w:iCs/>
        </w:rPr>
        <w:t xml:space="preserve">geotransform</w:t>
      </w:r>
      <w:r>
        <w:t xml:space="preserve"> that maps each pixel to a ground coordinate </w:t>
      </w:r>
      <w:hyperlink w:history="1" w:anchor="bm_ref_17">
        <w:r>
          <w:rPr>
            <w:color w:val="2A78D6"/>
          </w:rPr>
          <w:t xml:space="preserve">[17]</w:t>
        </w:r>
      </w:hyperlink>
      <w:r>
        <w:t xml:space="preserve">. This is what lets SatQuery turn a box in pixels into latitude/longitude on a map and an area in hectares.</w:t>
      </w:r>
    </w:p>
    <w:p>
      <w:pPr>
        <w:pStyle w:val="ListParagraph"/>
        <w:numPr>
          <w:ilvl w:val="0"/>
          <w:numId w:val="2"/>
        </w:numPr>
      </w:pPr>
      <w:r>
        <w:rPr>
          <w:b/>
          <w:bCs/>
        </w:rPr>
        <w:t xml:space="preserve">Ground sample distance (GSD)</w:t>
      </w:r>
      <w:r>
        <w:t xml:space="preserve"> is the ground size of one pixel — 10 m for Sentinel-2, sub-metre for Cartosat-2S.</w:t>
      </w:r>
    </w:p>
    <w:p>
      <w:pPr>
        <w:spacing w:after="60"/>
      </w:pPr>
    </w:p>
    <w:p>
      <w:pPr>
        <w:pStyle w:val="Heading2"/>
      </w:pPr>
      <w:bookmarkStart w:name="bm_primer_tasks" w:id="1"/>
      <w:r>
        <w:t xml:space="preserve">2.3   The AI tasks</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4"/>
        <w:gridCol w:w="4678"/>
        <w:gridCol w:w="2924"/>
      </w:tblGrid>
      <w:tr>
        <w:trPr>
          <w:tblHeader/>
        </w:trPr>
        <w:tc>
          <w:tcPr>
            <w:tcW w:type="dxa" w:w="2144"/>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Term</w:t>
            </w:r>
          </w:p>
        </w:tc>
        <w:tc>
          <w:tcPr>
            <w:tcW w:type="dxa" w:w="4678"/>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Plain meaning</w:t>
            </w:r>
          </w:p>
        </w:tc>
        <w:tc>
          <w:tcPr>
            <w:tcW w:type="dxa" w:w="2924"/>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Example</w:t>
            </w:r>
          </w:p>
        </w:tc>
      </w:tr>
      <w:tr>
        <w:trPr>
          <w:cantSplit/>
        </w:trPr>
        <w:tc>
          <w:tcPr>
            <w:tcW w:type="dxa" w:w="214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Visual Question Answering (VQA)</w:t>
            </w:r>
          </w:p>
        </w:tc>
        <w:tc>
          <w:tcPr>
            <w:tcW w:type="dxa" w:w="4678"/>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Answer a natural-language question about an image</w:t>
            </w:r>
          </w:p>
        </w:tc>
        <w:tc>
          <w:tcPr>
            <w:tcW w:type="dxa" w:w="292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“How many bridges are visible?” → 2</w:t>
            </w:r>
          </w:p>
        </w:tc>
      </w:tr>
      <w:tr>
        <w:trPr>
          <w:cantSplit/>
        </w:trPr>
        <w:tc>
          <w:tcPr>
            <w:tcW w:type="dxa" w:w="214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Grounding</w:t>
            </w:r>
          </w:p>
        </w:tc>
        <w:tc>
          <w:tcPr>
            <w:tcW w:type="dxa" w:w="4678"/>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Find and outline the thing the text refers to</w:t>
            </w:r>
          </w:p>
        </w:tc>
        <w:tc>
          <w:tcPr>
            <w:tcW w:type="dxa" w:w="292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“Highlight the water body” → a box/mask on the map</w:t>
            </w:r>
          </w:p>
        </w:tc>
      </w:tr>
      <w:tr>
        <w:trPr>
          <w:cantSplit/>
        </w:trPr>
        <w:tc>
          <w:tcPr>
            <w:tcW w:type="dxa" w:w="214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Captioning</w:t>
            </w:r>
          </w:p>
        </w:tc>
        <w:tc>
          <w:tcPr>
            <w:tcW w:type="dxa" w:w="4678"/>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Describe an image in a sentence</w:t>
            </w:r>
          </w:p>
        </w:tc>
        <w:tc>
          <w:tcPr>
            <w:tcW w:type="dxa" w:w="292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“A river crossing farmland”</w:t>
            </w:r>
          </w:p>
        </w:tc>
      </w:tr>
      <w:tr>
        <w:trPr>
          <w:cantSplit/>
        </w:trPr>
        <w:tc>
          <w:tcPr>
            <w:tcW w:type="dxa" w:w="214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Change detection</w:t>
            </w:r>
          </w:p>
        </w:tc>
        <w:tc>
          <w:tcPr>
            <w:tcW w:type="dxa" w:w="4678"/>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Find what differs between two dates, and where</w:t>
            </w:r>
          </w:p>
        </w:tc>
        <w:tc>
          <w:tcPr>
            <w:tcW w:type="dxa" w:w="292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“10 changed regions, 1,663 ha”</w:t>
            </w:r>
          </w:p>
        </w:tc>
      </w:tr>
      <w:tr>
        <w:trPr>
          <w:cantSplit/>
        </w:trPr>
        <w:tc>
          <w:tcPr>
            <w:tcW w:type="dxa" w:w="214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Vision-language model (VLM)</w:t>
            </w:r>
          </w:p>
        </w:tc>
        <w:tc>
          <w:tcPr>
            <w:tcW w:type="dxa" w:w="4678"/>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A neural network that reads images and text together</w:t>
            </w:r>
          </w:p>
        </w:tc>
        <w:tc>
          <w:tcPr>
            <w:tcW w:type="dxa" w:w="292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Qwen2-VL </w:t>
            </w:r>
            <w:hyperlink w:history="1" w:anchor="bm_ref_32">
              <w:r>
                <w:rPr>
                  <w:color w:val="2A78D6"/>
                  <w:sz w:val="19"/>
                  <w:szCs w:val="19"/>
                </w:rPr>
                <w:t xml:space="preserve">[32]</w:t>
              </w:r>
            </w:hyperlink>
            <w:r>
              <w:rPr>
                <w:sz w:val="19"/>
                <w:szCs w:val="19"/>
              </w:rPr>
              <w:t xml:space="preserve">, GeoChat </w:t>
            </w:r>
            <w:hyperlink w:history="1" w:anchor="bm_ref_9">
              <w:r>
                <w:rPr>
                  <w:color w:val="2A78D6"/>
                  <w:sz w:val="19"/>
                  <w:szCs w:val="19"/>
                </w:rPr>
                <w:t xml:space="preserve">[9]</w:t>
              </w:r>
            </w:hyperlink>
          </w:p>
        </w:tc>
      </w:tr>
      <w:tr>
        <w:trPr>
          <w:cantSplit/>
        </w:trPr>
        <w:tc>
          <w:tcPr>
            <w:tcW w:type="dxa" w:w="214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Fine-tuning / adaptation</w:t>
            </w:r>
          </w:p>
        </w:tc>
        <w:tc>
          <w:tcPr>
            <w:tcW w:type="dxa" w:w="4678"/>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Further training of a pre-trained model on domain data</w:t>
            </w:r>
          </w:p>
        </w:tc>
        <w:tc>
          <w:tcPr>
            <w:tcW w:type="dxa" w:w="292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Training on satellite VQA pairs</w:t>
            </w:r>
          </w:p>
        </w:tc>
      </w:tr>
      <w:tr>
        <w:trPr>
          <w:cantSplit/>
        </w:trPr>
        <w:tc>
          <w:tcPr>
            <w:tcW w:type="dxa" w:w="214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LoRA / QLoRA</w:t>
            </w:r>
          </w:p>
        </w:tc>
        <w:tc>
          <w:tcPr>
            <w:tcW w:type="dxa" w:w="4678"/>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Train a small add-on (</w:t>
            </w:r>
            <w:r>
              <w:rPr>
                <w:i/>
                <w:iCs/>
                <w:sz w:val="19"/>
                <w:szCs w:val="19"/>
              </w:rPr>
              <w:t xml:space="preserve">adapter</w:t>
            </w:r>
            <w:r>
              <w:rPr>
                <w:sz w:val="19"/>
                <w:szCs w:val="19"/>
              </w:rPr>
              <w:t xml:space="preserve">) instead of the whole model; QLoRA also compresses the frozen model to 4 bits </w:t>
            </w:r>
            <w:hyperlink w:history="1" w:anchor="bm_ref_12">
              <w:r>
                <w:rPr>
                  <w:color w:val="2A78D6"/>
                  <w:sz w:val="19"/>
                  <w:szCs w:val="19"/>
                </w:rPr>
                <w:t xml:space="preserve">[12]</w:t>
              </w:r>
            </w:hyperlink>
            <w:hyperlink w:history="1" w:anchor="bm_ref_33">
              <w:r>
                <w:rPr>
                  <w:color w:val="2A78D6"/>
                  <w:sz w:val="19"/>
                  <w:szCs w:val="19"/>
                </w:rPr>
                <w:t xml:space="preserve">[33]</w:t>
              </w:r>
            </w:hyperlink>
          </w:p>
        </w:tc>
        <w:tc>
          <w:tcPr>
            <w:tcW w:type="dxa" w:w="292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20 MB adapter on a 7-billion-parameter model</w:t>
            </w:r>
          </w:p>
        </w:tc>
      </w:tr>
      <w:tr>
        <w:trPr>
          <w:cantSplit/>
        </w:trPr>
        <w:tc>
          <w:tcPr>
            <w:tcW w:type="dxa" w:w="214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Calibration</w:t>
            </w:r>
          </w:p>
        </w:tc>
        <w:tc>
          <w:tcPr>
            <w:tcW w:type="dxa" w:w="4678"/>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Whether a stated confidence matches real accuracy</w:t>
            </w:r>
          </w:p>
        </w:tc>
        <w:tc>
          <w:tcPr>
            <w:tcW w:type="dxa" w:w="292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Answers given at 0.9 are right ~90 % of the time</w:t>
            </w:r>
          </w:p>
        </w:tc>
      </w:tr>
    </w:tbl>
    <w:p>
      <w:pPr>
        <w:spacing w:after="160"/>
      </w:pPr>
    </w:p>
    <w:p>
      <w:pPr>
        <w:pStyle w:val="Heading2"/>
      </w:pPr>
      <w:bookmarkStart w:name="bm_primer_change" w:id="1"/>
      <w:r>
        <w:t xml:space="preserve">2.4   The five levels of a change answer</w:t>
      </w:r>
      <w:bookmarkEnd w:id="1"/>
    </w:p>
    <w:p>
      <w:pPr>
        <w:jc w:val="both"/>
      </w:pPr>
      <w:r>
        <w:t xml:space="preserve">Subtracting two images tells you pixels changed; it cannot tell you a field became a warehouse, because a seasonal crop change and a construction project produce similar pixel differences. A real change answer climbs five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5"/>
        <w:gridCol w:w="2924"/>
        <w:gridCol w:w="3411"/>
        <w:gridCol w:w="2436"/>
      </w:tblGrid>
      <w:tr>
        <w:trPr>
          <w:tblHeader/>
        </w:trPr>
        <w:tc>
          <w:tcPr>
            <w:tcW w:type="dxa" w:w="975"/>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Level</w:t>
            </w:r>
          </w:p>
        </w:tc>
        <w:tc>
          <w:tcPr>
            <w:tcW w:type="dxa" w:w="2924"/>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Question</w:t>
            </w:r>
          </w:p>
        </w:tc>
        <w:tc>
          <w:tcPr>
            <w:tcW w:type="dxa" w:w="3411"/>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Example output</w:t>
            </w:r>
          </w:p>
        </w:tc>
        <w:tc>
          <w:tcPr>
            <w:tcW w:type="dxa" w:w="2436"/>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Produced by</w:t>
            </w:r>
          </w:p>
        </w:tc>
      </w:tr>
      <w:tr>
        <w:trPr>
          <w:cantSplit/>
        </w:trPr>
        <w:tc>
          <w:tcPr>
            <w:tcW w:type="dxa" w:w="975"/>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1</w:t>
            </w:r>
          </w:p>
        </w:tc>
        <w:tc>
          <w:tcPr>
            <w:tcW w:type="dxa" w:w="292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Did anything change?</w:t>
            </w:r>
          </w:p>
        </w:tc>
        <w:tc>
          <w:tcPr>
            <w:tcW w:type="dxa" w:w="3411"/>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yes / no</w:t>
            </w:r>
          </w:p>
        </w:tc>
        <w:tc>
          <w:tcPr>
            <w:tcW w:type="dxa" w:w="2436"/>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vision</w:t>
            </w:r>
          </w:p>
        </w:tc>
      </w:tr>
      <w:tr>
        <w:trPr>
          <w:cantSplit/>
        </w:trPr>
        <w:tc>
          <w:tcPr>
            <w:tcW w:type="dxa" w:w="975"/>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2</w:t>
            </w:r>
          </w:p>
        </w:tc>
        <w:tc>
          <w:tcPr>
            <w:tcW w:type="dxa" w:w="292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What changed?</w:t>
            </w:r>
          </w:p>
        </w:tc>
        <w:tc>
          <w:tcPr>
            <w:tcW w:type="dxa" w:w="3411"/>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Vegetation → built-up</w:t>
            </w:r>
          </w:p>
        </w:tc>
        <w:tc>
          <w:tcPr>
            <w:tcW w:type="dxa" w:w="2436"/>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vision</w:t>
            </w:r>
          </w:p>
        </w:tc>
      </w:tr>
      <w:tr>
        <w:trPr>
          <w:cantSplit/>
        </w:trPr>
        <w:tc>
          <w:tcPr>
            <w:tcW w:type="dxa" w:w="975"/>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3</w:t>
            </w:r>
          </w:p>
        </w:tc>
        <w:tc>
          <w:tcPr>
            <w:tcW w:type="dxa" w:w="292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How much?</w:t>
            </w:r>
          </w:p>
        </w:tc>
        <w:tc>
          <w:tcPr>
            <w:tcW w:type="dxa" w:w="3411"/>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+4.37 percentage points built-up</w:t>
            </w:r>
          </w:p>
        </w:tc>
        <w:tc>
          <w:tcPr>
            <w:tcW w:type="dxa" w:w="2436"/>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vision</w:t>
            </w:r>
          </w:p>
        </w:tc>
      </w:tr>
      <w:tr>
        <w:trPr>
          <w:cantSplit/>
        </w:trPr>
        <w:tc>
          <w:tcPr>
            <w:tcW w:type="dxa" w:w="975"/>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4</w:t>
            </w:r>
          </w:p>
        </w:tc>
        <w:tc>
          <w:tcPr>
            <w:tcW w:type="dxa" w:w="292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Where?</w:t>
            </w:r>
          </w:p>
        </w:tc>
        <w:tc>
          <w:tcPr>
            <w:tcW w:type="dxa" w:w="3411"/>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boxes / mask in lat-long</w:t>
            </w:r>
          </w:p>
        </w:tc>
        <w:tc>
          <w:tcPr>
            <w:tcW w:type="dxa" w:w="2436"/>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vision</w:t>
            </w:r>
          </w:p>
        </w:tc>
      </w:tr>
      <w:tr>
        <w:trPr>
          <w:cantSplit/>
        </w:trPr>
        <w:tc>
          <w:tcPr>
            <w:tcW w:type="dxa" w:w="975"/>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5</w:t>
            </w:r>
          </w:p>
        </w:tc>
        <w:tc>
          <w:tcPr>
            <w:tcW w:type="dxa" w:w="292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What does it mean?</w:t>
            </w:r>
          </w:p>
        </w:tc>
        <w:tc>
          <w:tcPr>
            <w:tcW w:type="dxa" w:w="3411"/>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“consistent with construction”</w:t>
            </w:r>
          </w:p>
        </w:tc>
        <w:tc>
          <w:tcPr>
            <w:tcW w:type="dxa" w:w="2436"/>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b/>
                <w:bCs/>
                <w:sz w:val="19"/>
                <w:szCs w:val="19"/>
              </w:rPr>
              <w:t xml:space="preserve">language layer, phrasing facts only</w:t>
            </w:r>
          </w:p>
        </w:tc>
      </w:tr>
    </w:tbl>
    <w:p>
      <w:pPr>
        <w:pStyle w:val="Heading1"/>
        <w:pageBreakBefore/>
        <w:pBdr>
          <w:bottom w:val="single" w:color="0B2545" w:sz="18" w:space="4"/>
        </w:pBdr>
      </w:pPr>
      <w:bookmarkStart w:name="bm_solution" w:id="1"/>
      <w:r>
        <w:t xml:space="preserve">3   Proposed Solution</w:t>
      </w:r>
      <w:bookmarkEnd w:id="1"/>
    </w:p>
    <w:p>
      <w:pPr>
        <w:pStyle w:val="Heading2"/>
      </w:pPr>
      <w:bookmarkStart w:name="bm_sol_one" w:id="1"/>
      <w:r>
        <w:t xml:space="preserve">3.1   Our answer in one sentence</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none" w:color="FFFFFF" w:sz="0"/>
              <w:left w:val="single" w:color="EDA100" w:sz="30"/>
              <w:bottom w:val="none" w:color="FFFFFF" w:sz="0"/>
              <w:right w:val="none" w:color="FFFFFF" w:sz="0"/>
            </w:tcBorders>
            <w:shd w:fill="FFF8E6" w:color="auto" w:val="clear"/>
            <w:tcMar>
              <w:top w:type="dxa" w:w="120"/>
              <w:left w:type="dxa" w:w="180"/>
              <w:bottom w:type="dxa" w:w="120"/>
              <w:right w:type="dxa" w:w="180"/>
            </w:tcMar>
          </w:tcPr>
          <w:p>
            <w:pPr>
              <w:spacing w:after="60"/>
            </w:pPr>
            <w:r>
              <w:rPr>
                <w:rFonts w:ascii="Segoe UI" w:cs="Segoe UI" w:eastAsia="Segoe UI" w:hAnsi="Segoe UI"/>
                <w:b/>
                <w:bCs/>
                <w:color w:val="0B2545"/>
                <w:spacing w:val="20"/>
                <w:sz w:val="17"/>
                <w:szCs w:val="17"/>
              </w:rPr>
              <w:t xml:space="preserve">SATQUERY AI IN ONE SENTENCE</w:t>
            </w:r>
          </w:p>
          <w:p>
            <w:pPr>
              <w:spacing w:after="0"/>
            </w:pPr>
            <w:r>
              <w:rPr>
                <w:b/>
                <w:bCs/>
              </w:rPr>
              <w:t xml:space="preserve">Do not build a chatbot that looks at satellite images. Build a remote-sensing analysis system that happens to accept natural language.</w:t>
            </w:r>
            <w:r>
              <w:t xml:space="preserve"> A constrained agent routes each question to a registry of remote-sensing specialists, validates the inputs first, fuses the measured evidence, and phrases only what was measured — with confidence, a map and an auditable trace.</w:t>
            </w:r>
          </w:p>
        </w:tc>
      </w:tr>
    </w:tbl>
    <w:p>
      <w:pPr>
        <w:spacing w:after="160"/>
      </w:pPr>
    </w:p>
    <w:p>
      <w:pPr>
        <w:keepNext/>
        <w:spacing w:after="0" w:before="120"/>
        <w:jc w:val="center"/>
      </w:pPr>
      <w:r>
        <w:drawing>
          <wp:inline distT="0" distB="0" distL="0" distR="0">
            <wp:extent cx="6181725"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81725" cy="1714500"/>
                    </a:xfrm>
                    <a:prstGeom prst="rect">
                      <a:avLst/>
                    </a:prstGeom>
                  </pic:spPr>
                </pic:pic>
              </a:graphicData>
            </a:graphic>
          </wp:inline>
        </w:drawing>
      </w:r>
    </w:p>
    <w:p>
      <w:pPr>
        <w:keepLines/>
        <w:spacing w:after="220" w:before="60"/>
        <w:jc w:val="center"/>
      </w:pPr>
      <w:r>
        <w:rPr>
          <w:b/>
          <w:bCs/>
          <w:color w:val="0B2545"/>
          <w:sz w:val="17"/>
          <w:szCs w:val="17"/>
        </w:rPr>
        <w:t xml:space="preserve">Figure 3. </w:t>
      </w:r>
      <w:r>
        <w:rPr>
          <w:i/>
          <w:iCs/>
          <w:color w:val="6B7280"/>
          <w:sz w:val="17"/>
          <w:szCs w:val="17"/>
        </w:rPr>
        <w:t xml:space="preserve">The solution at the highest level: one entry point, a fixed set of specialists, and evidence-gated answers.</w:t>
      </w:r>
    </w:p>
    <w:p>
      <w:pPr>
        <w:pStyle w:val="Heading2"/>
      </w:pPr>
      <w:bookmarkStart w:name="bm_sol_flow" w:id="1"/>
      <w:r>
        <w:t xml:space="preserve">3.2   How a question travels through the system</w:t>
      </w:r>
      <w:bookmarkEnd w:id="1"/>
    </w:p>
    <w:p>
      <w:pPr>
        <w:jc w:val="both"/>
      </w:pPr>
      <w:r>
        <w:t xml:space="preserve">Every request follows the same fixed nine-step path. Each step writes one line into the execution trace — which step ran, what it decided and how long it took.</w:t>
      </w:r>
    </w:p>
    <w:p>
      <w:pPr>
        <w:keepNext/>
        <w:spacing w:after="0" w:before="120"/>
        <w:jc w:val="center"/>
      </w:pPr>
      <w:r>
        <w:drawing>
          <wp:inline distT="0" distB="0" distL="0" distR="0">
            <wp:extent cx="3524250"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524250" cy="7239000"/>
                    </a:xfrm>
                    <a:prstGeom prst="rect">
                      <a:avLst/>
                    </a:prstGeom>
                  </pic:spPr>
                </pic:pic>
              </a:graphicData>
            </a:graphic>
          </wp:inline>
        </w:drawing>
      </w:r>
    </w:p>
    <w:p>
      <w:pPr>
        <w:keepLines/>
        <w:spacing w:after="220" w:before="60"/>
        <w:jc w:val="center"/>
      </w:pPr>
      <w:r>
        <w:rPr>
          <w:b/>
          <w:bCs/>
          <w:color w:val="0B2545"/>
          <w:sz w:val="17"/>
          <w:szCs w:val="17"/>
        </w:rPr>
        <w:t xml:space="preserve">Figure 4. </w:t>
      </w:r>
      <w:r>
        <w:rPr>
          <w:i/>
          <w:iCs/>
          <w:color w:val="6B7280"/>
          <w:sz w:val="17"/>
          <w:szCs w:val="17"/>
        </w:rPr>
        <w:t xml:space="preserve">The nine-step request path. Two of the three possible outcomes are the system saying “no” — which is what makes the “yes” answers trustworthy.</w:t>
      </w:r>
    </w:p>
    <w:p>
      <w:pPr>
        <w:keepNext/>
        <w:spacing w:after="0" w:before="120"/>
        <w:jc w:val="center"/>
      </w:pPr>
      <w:r>
        <w:drawing>
          <wp:inline distT="0" distB="0" distL="0" distR="0">
            <wp:extent cx="6181725"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81725" cy="1771650"/>
                    </a:xfrm>
                    <a:prstGeom prst="rect">
                      <a:avLst/>
                    </a:prstGeom>
                  </pic:spPr>
                </pic:pic>
              </a:graphicData>
            </a:graphic>
          </wp:inline>
        </w:drawing>
      </w:r>
    </w:p>
    <w:p>
      <w:pPr>
        <w:keepLines/>
        <w:spacing w:after="220" w:before="60"/>
        <w:jc w:val="center"/>
      </w:pPr>
      <w:r>
        <w:rPr>
          <w:b/>
          <w:bCs/>
          <w:color w:val="0B2545"/>
          <w:sz w:val="17"/>
          <w:szCs w:val="17"/>
        </w:rPr>
        <w:t xml:space="preserve">Figure 5. </w:t>
      </w:r>
      <w:r>
        <w:rPr>
          <w:i/>
          <w:iCs/>
          <w:color w:val="6B7280"/>
          <w:sz w:val="17"/>
          <w:szCs w:val="17"/>
        </w:rPr>
        <w:t xml:space="preserve">The three outcomes of every query.</w:t>
      </w:r>
    </w:p>
    <w:p>
      <w:pPr>
        <w:pStyle w:val="Heading2"/>
      </w:pPr>
      <w:bookmarkStart w:name="bm_sol_principles" w:id="1"/>
      <w:r>
        <w:t xml:space="preserve">3.3   Three principles that make the answers trustworthy</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4"/>
        <w:gridCol w:w="4191"/>
        <w:gridCol w:w="3411"/>
      </w:tblGrid>
      <w:tr>
        <w:trPr>
          <w:tblHeader/>
        </w:trPr>
        <w:tc>
          <w:tcPr>
            <w:tcW w:type="dxa" w:w="2144"/>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Principle</w:t>
            </w:r>
          </w:p>
        </w:tc>
        <w:tc>
          <w:tcPr>
            <w:tcW w:type="dxa" w:w="4191"/>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What it means</w:t>
            </w:r>
          </w:p>
        </w:tc>
        <w:tc>
          <w:tcPr>
            <w:tcW w:type="dxa" w:w="3411"/>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How it is enforced</w:t>
            </w:r>
          </w:p>
        </w:tc>
      </w:tr>
      <w:tr>
        <w:trPr>
          <w:cantSplit/>
        </w:trPr>
        <w:tc>
          <w:tcPr>
            <w:tcW w:type="dxa" w:w="214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b/>
                <w:bCs/>
                <w:sz w:val="19"/>
                <w:szCs w:val="19"/>
              </w:rPr>
              <w:t xml:space="preserve">Refuse rather than guess</w:t>
            </w:r>
          </w:p>
        </w:tc>
        <w:tc>
          <w:tcPr>
            <w:tcW w:type="dxa" w:w="4191"/>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Incompatible inputs are refused before any model runs, with what to upload instead.</w:t>
            </w:r>
          </w:p>
        </w:tc>
        <w:tc>
          <w:tcPr>
            <w:tcW w:type="dxa" w:w="3411"/>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Router step 2 (validate) precedes selection; the refusal path has no call into the model runtime.</w:t>
            </w:r>
          </w:p>
        </w:tc>
      </w:tr>
      <w:tr>
        <w:trPr>
          <w:cantSplit/>
        </w:trPr>
        <w:tc>
          <w:tcPr>
            <w:tcW w:type="dxa" w:w="214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b/>
                <w:bCs/>
                <w:sz w:val="19"/>
                <w:szCs w:val="19"/>
              </w:rPr>
              <w:t xml:space="preserve">Facts before words</w:t>
            </w:r>
          </w:p>
        </w:tc>
        <w:tc>
          <w:tcPr>
            <w:tcW w:type="dxa" w:w="4191"/>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Vision specialists produce structured evidence; the language layer only phrases it.</w:t>
            </w:r>
          </w:p>
        </w:tc>
        <w:tc>
          <w:tcPr>
            <w:tcW w:type="dxa" w:w="3411"/>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rFonts w:ascii="Consolas" w:cs="Consolas" w:eastAsia="Consolas" w:hAnsi="Consolas"/>
                <w:sz w:val="17"/>
                <w:szCs w:val="17"/>
                <w:shd w:fill="EEF1F5" w:color="auto" w:val="clear"/>
              </w:rPr>
              <w:t xml:space="preserve">pipeline.answer()</w:t>
            </w:r>
            <w:r>
              <w:rPr>
                <w:sz w:val="19"/>
                <w:szCs w:val="19"/>
              </w:rPr>
              <w:t xml:space="preserve"> accepts an </w:t>
            </w:r>
            <w:r>
              <w:rPr>
                <w:rFonts w:ascii="Consolas" w:cs="Consolas" w:eastAsia="Consolas" w:hAnsi="Consolas"/>
                <w:sz w:val="17"/>
                <w:szCs w:val="17"/>
                <w:shd w:fill="EEF1F5" w:color="auto" w:val="clear"/>
              </w:rPr>
              <w:t xml:space="preserve">EvidenceSet</w:t>
            </w:r>
            <w:r>
              <w:rPr>
                <w:sz w:val="19"/>
                <w:szCs w:val="19"/>
              </w:rPr>
              <w:t xml:space="preserve"> and no raster — enforced by the type signature and asserted by a test (ADR-007).</w:t>
            </w:r>
          </w:p>
        </w:tc>
      </w:tr>
      <w:tr>
        <w:trPr>
          <w:cantSplit/>
        </w:trPr>
        <w:tc>
          <w:tcPr>
            <w:tcW w:type="dxa" w:w="214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b/>
                <w:bCs/>
                <w:sz w:val="19"/>
                <w:szCs w:val="19"/>
              </w:rPr>
              <w:t xml:space="preserve">Abstain below threshold</w:t>
            </w:r>
          </w:p>
        </w:tc>
        <w:tc>
          <w:tcPr>
            <w:tcW w:type="dxa" w:w="4191"/>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If no evidence clears the confidence gate, the system declines rather than guesses.</w:t>
            </w:r>
          </w:p>
        </w:tc>
        <w:tc>
          <w:tcPr>
            <w:tcW w:type="dxa" w:w="3411"/>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Gate at 0.45, chosen from measured calibration data (§4.7).</w:t>
            </w:r>
          </w:p>
        </w:tc>
      </w:tr>
    </w:tbl>
    <w:p>
      <w:pPr>
        <w:spacing w:after="160"/>
      </w:pPr>
    </w:p>
    <w:p>
      <w:pPr>
        <w:keepNext/>
        <w:spacing w:after="0" w:before="120"/>
        <w:jc w:val="center"/>
      </w:pPr>
      <w:r>
        <w:drawing>
          <wp:inline distT="0" distB="0" distL="0" distR="0">
            <wp:extent cx="29718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971800" cy="4191000"/>
                    </a:xfrm>
                    <a:prstGeom prst="rect">
                      <a:avLst/>
                    </a:prstGeom>
                  </pic:spPr>
                </pic:pic>
              </a:graphicData>
            </a:graphic>
          </wp:inline>
        </w:drawing>
      </w:r>
    </w:p>
    <w:p>
      <w:pPr>
        <w:keepLines/>
        <w:spacing w:after="220" w:before="60"/>
        <w:jc w:val="center"/>
      </w:pPr>
      <w:r>
        <w:rPr>
          <w:b/>
          <w:bCs/>
          <w:color w:val="0B2545"/>
          <w:sz w:val="17"/>
          <w:szCs w:val="17"/>
        </w:rPr>
        <w:t xml:space="preserve">Figure 6. </w:t>
      </w:r>
      <w:r>
        <w:rPr>
          <w:i/>
          <w:iCs/>
          <w:color w:val="6B7280"/>
          <w:sz w:val="17"/>
          <w:szCs w:val="17"/>
        </w:rPr>
        <w:t xml:space="preserve">Evidence-gated generation (ADR-007): the language layer cannot invent a number because it never had the image.</w:t>
      </w:r>
    </w:p>
    <w:p>
      <w:pPr>
        <w:pStyle w:val="Heading2"/>
      </w:pPr>
      <w:bookmarkStart w:name="bm_sol_router" w:id="1"/>
      <w:r>
        <w:t xml:space="preserve">3.4   The agentic router</w:t>
      </w:r>
      <w:bookmarkEnd w:id="1"/>
    </w:p>
    <w:p>
      <w:pPr>
        <w:jc w:val="both"/>
      </w:pPr>
      <w:r>
        <w:t xml:space="preserve">The problem statement calls the router the novelty of the whole system. It is deliberately </w:t>
      </w:r>
      <w:r>
        <w:rPr>
          <w:b/>
          <w:bCs/>
        </w:rPr>
        <w:t xml:space="preserve">a constrained agent, not an open-ended one</w:t>
      </w:r>
      <w:r>
        <w:t xml:space="preserve">: ISRO asks for tools selected “from a predefined registry” with “only permitted task parameters”. SatQuery's router is a plain, readable Python function (ADR-004) that performs five jobs in strict order: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7"/>
        <w:gridCol w:w="1364"/>
        <w:gridCol w:w="4191"/>
        <w:gridCol w:w="3704"/>
      </w:tblGrid>
      <w:tr>
        <w:trPr>
          <w:tblHeader/>
        </w:trPr>
        <w:tc>
          <w:tcPr>
            <w:tcW w:type="dxa" w:w="487"/>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w:t>
            </w:r>
          </w:p>
        </w:tc>
        <w:tc>
          <w:tcPr>
            <w:tcW w:type="dxa" w:w="1364"/>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Job</w:t>
            </w:r>
          </w:p>
        </w:tc>
        <w:tc>
          <w:tcPr>
            <w:tcW w:type="dxa" w:w="4191"/>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What it does</w:t>
            </w:r>
          </w:p>
        </w:tc>
        <w:tc>
          <w:tcPr>
            <w:tcW w:type="dxa" w:w="3704"/>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PS wording it satisfies</w:t>
            </w:r>
          </w:p>
        </w:tc>
      </w:tr>
      <w:tr>
        <w:trPr>
          <w:cantSplit/>
        </w:trPr>
        <w:tc>
          <w:tcPr>
            <w:tcW w:type="dxa" w:w="487"/>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1</w:t>
            </w:r>
          </w:p>
        </w:tc>
        <w:tc>
          <w:tcPr>
            <w:tcW w:type="dxa" w:w="136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b/>
                <w:bCs/>
                <w:sz w:val="19"/>
                <w:szCs w:val="19"/>
              </w:rPr>
              <w:t xml:space="preserve">Classify</w:t>
            </w:r>
          </w:p>
        </w:tc>
        <w:tc>
          <w:tcPr>
            <w:tcW w:type="dxa" w:w="4191"/>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Reads the question and decides the task (single_vqa, grounding, temporal_change, cross_modal).</w:t>
            </w:r>
          </w:p>
        </w:tc>
        <w:tc>
          <w:tcPr>
            <w:tcW w:type="dxa" w:w="370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“interpret the query and classify the requested task”</w:t>
            </w:r>
          </w:p>
        </w:tc>
      </w:tr>
      <w:tr>
        <w:trPr>
          <w:cantSplit/>
        </w:trPr>
        <w:tc>
          <w:tcPr>
            <w:tcW w:type="dxa" w:w="487"/>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2</w:t>
            </w:r>
          </w:p>
        </w:tc>
        <w:tc>
          <w:tcPr>
            <w:tcW w:type="dxa" w:w="136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b/>
                <w:bCs/>
                <w:sz w:val="19"/>
                <w:szCs w:val="19"/>
              </w:rPr>
              <w:t xml:space="preserve">Validate</w:t>
            </w:r>
          </w:p>
        </w:tc>
        <w:tc>
          <w:tcPr>
            <w:tcW w:type="dxa" w:w="4191"/>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Checks number, modality, format, CRS and alignment of the uploads against what the task requires.</w:t>
            </w:r>
          </w:p>
        </w:tc>
        <w:tc>
          <w:tcPr>
            <w:tcW w:type="dxa" w:w="370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“check the number, modality, format, metadata, and compatibility of the input images”</w:t>
            </w:r>
          </w:p>
        </w:tc>
      </w:tr>
      <w:tr>
        <w:trPr>
          <w:cantSplit/>
        </w:trPr>
        <w:tc>
          <w:tcPr>
            <w:tcW w:type="dxa" w:w="487"/>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3</w:t>
            </w:r>
          </w:p>
        </w:tc>
        <w:tc>
          <w:tcPr>
            <w:tcW w:type="dxa" w:w="136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b/>
                <w:bCs/>
                <w:sz w:val="19"/>
                <w:szCs w:val="19"/>
              </w:rPr>
              <w:t xml:space="preserve">Select</w:t>
            </w:r>
          </w:p>
        </w:tc>
        <w:tc>
          <w:tcPr>
            <w:tcW w:type="dxa" w:w="4191"/>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Picks tools only from the registry — never invents one.</w:t>
            </w:r>
          </w:p>
        </w:tc>
        <w:tc>
          <w:tcPr>
            <w:tcW w:type="dxa" w:w="370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“select one or more models or tools from a predefined registry”</w:t>
            </w:r>
          </w:p>
        </w:tc>
      </w:tr>
      <w:tr>
        <w:trPr>
          <w:cantSplit/>
        </w:trPr>
        <w:tc>
          <w:tcPr>
            <w:tcW w:type="dxa" w:w="487"/>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4</w:t>
            </w:r>
          </w:p>
        </w:tc>
        <w:tc>
          <w:tcPr>
            <w:tcW w:type="dxa" w:w="136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b/>
                <w:bCs/>
                <w:sz w:val="19"/>
                <w:szCs w:val="19"/>
              </w:rPr>
              <w:t xml:space="preserve">Sequence</w:t>
            </w:r>
          </w:p>
        </w:tc>
        <w:tc>
          <w:tcPr>
            <w:tcW w:type="dxa" w:w="4191"/>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Orders tools when more than one is needed.</w:t>
            </w:r>
          </w:p>
        </w:tc>
        <w:tc>
          <w:tcPr>
            <w:tcW w:type="dxa" w:w="370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“select, sequence, and execute”</w:t>
            </w:r>
          </w:p>
        </w:tc>
      </w:tr>
      <w:tr>
        <w:trPr>
          <w:cantSplit/>
        </w:trPr>
        <w:tc>
          <w:tcPr>
            <w:tcW w:type="dxa" w:w="487"/>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5</w:t>
            </w:r>
          </w:p>
        </w:tc>
        <w:tc>
          <w:tcPr>
            <w:tcW w:type="dxa" w:w="136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b/>
                <w:bCs/>
                <w:sz w:val="19"/>
                <w:szCs w:val="19"/>
              </w:rPr>
              <w:t xml:space="preserve">Execute</w:t>
            </w:r>
          </w:p>
        </w:tc>
        <w:tc>
          <w:tcPr>
            <w:tcW w:type="dxa" w:w="4191"/>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Runs with permitted parameters only (the confidence threshold).</w:t>
            </w:r>
          </w:p>
        </w:tc>
        <w:tc>
          <w:tcPr>
            <w:tcW w:type="dxa" w:w="370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“configure only permitted task parameters”</w:t>
            </w:r>
          </w:p>
        </w:tc>
      </w:tr>
    </w:tbl>
    <w:p>
      <w:pPr>
        <w:spacing w:after="160"/>
      </w:pPr>
    </w:p>
    <w:p>
      <w:pPr>
        <w:keepNext/>
        <w:spacing w:after="0" w:before="120"/>
        <w:jc w:val="center"/>
      </w:pPr>
      <w:r>
        <w:drawing>
          <wp:inline distT="0" distB="0" distL="0" distR="0">
            <wp:extent cx="3609975"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09975" cy="7239000"/>
                    </a:xfrm>
                    <a:prstGeom prst="rect">
                      <a:avLst/>
                    </a:prstGeom>
                  </pic:spPr>
                </pic:pic>
              </a:graphicData>
            </a:graphic>
          </wp:inline>
        </w:drawing>
      </w:r>
    </w:p>
    <w:p>
      <w:pPr>
        <w:keepLines/>
        <w:spacing w:after="220" w:before="60"/>
        <w:jc w:val="center"/>
      </w:pPr>
      <w:r>
        <w:rPr>
          <w:b/>
          <w:bCs/>
          <w:color w:val="0B2545"/>
          <w:sz w:val="17"/>
          <w:szCs w:val="17"/>
        </w:rPr>
        <w:t xml:space="preserve">Figure 7. </w:t>
      </w:r>
      <w:r>
        <w:rPr>
          <w:i/>
          <w:iCs/>
          <w:color w:val="6B7280"/>
          <w:sz w:val="17"/>
          <w:szCs w:val="17"/>
        </w:rPr>
        <w:t xml:space="preserve">The router's five jobs, including the refusal branch that runs no model.</w:t>
      </w:r>
    </w:p>
    <w:p>
      <w:pPr>
        <w:pStyle w:val="Heading3"/>
      </w:pPr>
      <w:r>
        <w:t xml:space="preserve">The tool registry — the only tools the router may select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64"/>
        <w:gridCol w:w="1657"/>
        <w:gridCol w:w="1949"/>
        <w:gridCol w:w="1949"/>
        <w:gridCol w:w="1364"/>
        <w:gridCol w:w="1463"/>
      </w:tblGrid>
      <w:tr>
        <w:trPr>
          <w:tblHeader/>
        </w:trPr>
        <w:tc>
          <w:tcPr>
            <w:tcW w:type="dxa" w:w="1364"/>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Tool</w:t>
            </w:r>
          </w:p>
        </w:tc>
        <w:tc>
          <w:tcPr>
            <w:tcW w:type="dxa" w:w="1657"/>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Task</w:t>
            </w:r>
          </w:p>
        </w:tc>
        <w:tc>
          <w:tcPr>
            <w:tcW w:type="dxa" w:w="1949"/>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Requires</w:t>
            </w:r>
          </w:p>
        </w:tc>
        <w:tc>
          <w:tcPr>
            <w:tcW w:type="dxa" w:w="1949"/>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Outputs</w:t>
            </w:r>
          </w:p>
        </w:tc>
        <w:tc>
          <w:tcPr>
            <w:tcW w:type="dxa" w:w="1364"/>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Model slot</w:t>
            </w:r>
          </w:p>
        </w:tc>
        <w:tc>
          <w:tcPr>
            <w:tcW w:type="dxa" w:w="1463"/>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Permitted parameter</w:t>
            </w:r>
          </w:p>
        </w:tc>
      </w:tr>
      <w:tr>
        <w:trPr>
          <w:cantSplit/>
        </w:trPr>
        <w:tc>
          <w:tcPr>
            <w:tcW w:type="dxa" w:w="136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rFonts w:ascii="Consolas" w:cs="Consolas" w:eastAsia="Consolas" w:hAnsi="Consolas"/>
                <w:sz w:val="17"/>
                <w:szCs w:val="17"/>
                <w:shd w:fill="EEF1F5" w:color="auto" w:val="clear"/>
              </w:rPr>
              <w:t xml:space="preserve">rs_vqa</w:t>
            </w:r>
          </w:p>
        </w:tc>
        <w:tc>
          <w:tcPr>
            <w:tcW w:type="dxa" w:w="1657"/>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single-image VQA</w:t>
            </w:r>
          </w:p>
        </w:tc>
        <w:tc>
          <w:tcPr>
            <w:tcW w:type="dxa" w:w="194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single image</w:t>
            </w:r>
          </w:p>
        </w:tc>
        <w:tc>
          <w:tcPr>
            <w:tcW w:type="dxa" w:w="194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text, confidence</w:t>
            </w:r>
          </w:p>
        </w:tc>
        <w:tc>
          <w:tcPr>
            <w:tcW w:type="dxa" w:w="136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M1 (trained)</w:t>
            </w:r>
          </w:p>
        </w:tc>
        <w:tc>
          <w:tcPr>
            <w:tcW w:type="dxa" w:w="1463"/>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threshold ∈ [0, 1]</w:t>
            </w:r>
          </w:p>
        </w:tc>
      </w:tr>
      <w:tr>
        <w:trPr>
          <w:cantSplit/>
        </w:trPr>
        <w:tc>
          <w:tcPr>
            <w:tcW w:type="dxa" w:w="136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rFonts w:ascii="Consolas" w:cs="Consolas" w:eastAsia="Consolas" w:hAnsi="Consolas"/>
                <w:sz w:val="17"/>
                <w:szCs w:val="17"/>
                <w:shd w:fill="EEF1F5" w:color="auto" w:val="clear"/>
              </w:rPr>
              <w:t xml:space="preserve">grounding</w:t>
            </w:r>
          </w:p>
        </w:tc>
        <w:tc>
          <w:tcPr>
            <w:tcW w:type="dxa" w:w="1657"/>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text-guided grounding</w:t>
            </w:r>
          </w:p>
        </w:tc>
        <w:tc>
          <w:tcPr>
            <w:tcW w:type="dxa" w:w="194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single image</w:t>
            </w:r>
          </w:p>
        </w:tc>
        <w:tc>
          <w:tcPr>
            <w:tcW w:type="dxa" w:w="194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georeferenced boxes, confidence</w:t>
            </w:r>
          </w:p>
        </w:tc>
        <w:tc>
          <w:tcPr>
            <w:tcW w:type="dxa" w:w="136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M2 (planned)</w:t>
            </w:r>
          </w:p>
        </w:tc>
        <w:tc>
          <w:tcPr>
            <w:tcW w:type="dxa" w:w="1463"/>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threshold ∈ [0, 1]</w:t>
            </w:r>
          </w:p>
        </w:tc>
      </w:tr>
      <w:tr>
        <w:trPr>
          <w:cantSplit/>
        </w:trPr>
        <w:tc>
          <w:tcPr>
            <w:tcW w:type="dxa" w:w="136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rFonts w:ascii="Consolas" w:cs="Consolas" w:eastAsia="Consolas" w:hAnsi="Consolas"/>
                <w:sz w:val="17"/>
                <w:szCs w:val="17"/>
                <w:shd w:fill="EEF1F5" w:color="auto" w:val="clear"/>
              </w:rPr>
              <w:t xml:space="preserve">change_vqa</w:t>
            </w:r>
          </w:p>
        </w:tc>
        <w:tc>
          <w:tcPr>
            <w:tcW w:type="dxa" w:w="1657"/>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change, change-VQA</w:t>
            </w:r>
          </w:p>
        </w:tc>
        <w:tc>
          <w:tcPr>
            <w:tcW w:type="dxa" w:w="194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bi-temporal pair</w:t>
            </w:r>
          </w:p>
        </w:tc>
        <w:tc>
          <w:tcPr>
            <w:tcW w:type="dxa" w:w="194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text, change regions, area</w:t>
            </w:r>
          </w:p>
        </w:tc>
        <w:tc>
          <w:tcPr>
            <w:tcW w:type="dxa" w:w="136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M3 (planned)</w:t>
            </w:r>
          </w:p>
        </w:tc>
        <w:tc>
          <w:tcPr>
            <w:tcW w:type="dxa" w:w="1463"/>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threshold ∈ [0, 1]</w:t>
            </w:r>
          </w:p>
        </w:tc>
      </w:tr>
      <w:tr>
        <w:trPr>
          <w:cantSplit/>
        </w:trPr>
        <w:tc>
          <w:tcPr>
            <w:tcW w:type="dxa" w:w="136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rFonts w:ascii="Consolas" w:cs="Consolas" w:eastAsia="Consolas" w:hAnsi="Consolas"/>
                <w:sz w:val="17"/>
                <w:szCs w:val="17"/>
                <w:shd w:fill="EEF1F5" w:color="auto" w:val="clear"/>
              </w:rPr>
              <w:t xml:space="preserve">optical_sar</w:t>
            </w:r>
          </w:p>
        </w:tc>
        <w:tc>
          <w:tcPr>
            <w:tcW w:type="dxa" w:w="1657"/>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cross-modal</w:t>
            </w:r>
          </w:p>
        </w:tc>
        <w:tc>
          <w:tcPr>
            <w:tcW w:type="dxa" w:w="194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co-registered optical + SAR</w:t>
            </w:r>
          </w:p>
        </w:tc>
        <w:tc>
          <w:tcPr>
            <w:tcW w:type="dxa" w:w="194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per-modality evidence, fused evidence</w:t>
            </w:r>
          </w:p>
        </w:tc>
        <w:tc>
          <w:tcPr>
            <w:tcW w:type="dxa" w:w="136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M4 (planned)</w:t>
            </w:r>
          </w:p>
        </w:tc>
        <w:tc>
          <w:tcPr>
            <w:tcW w:type="dxa" w:w="1463"/>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threshold ∈ [0, 1]</w:t>
            </w:r>
          </w:p>
        </w:tc>
      </w:tr>
    </w:tbl>
    <w:p>
      <w:pPr>
        <w:spacing w:after="160"/>
      </w:pPr>
    </w:p>
    <w:p>
      <w:pPr>
        <w:jc w:val="both"/>
      </w:pPr>
      <w:r>
        <w:t xml:space="preserve">Adding a capability means adding one registry row that declares its inputs, outputs and permitted parameters; a tool without a row cannot be selected. Classification today is a deterministic, rule-based stand-in with the same interface as the trained classifier specified for M5, so replacing it is a one-line change and the trace records which one ran.</w:t>
      </w:r>
    </w:p>
    <w:p>
      <w:pPr>
        <w:pStyle w:val="Heading3"/>
      </w:pPr>
      <w:r>
        <w:t xml:space="preserve">The refusal matrix</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29"/>
        <w:gridCol w:w="2924"/>
        <w:gridCol w:w="4093"/>
      </w:tblGrid>
      <w:tr>
        <w:trPr>
          <w:tblHeader/>
        </w:trPr>
        <w:tc>
          <w:tcPr>
            <w:tcW w:type="dxa" w:w="2729"/>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Task asked</w:t>
            </w:r>
          </w:p>
        </w:tc>
        <w:tc>
          <w:tcPr>
            <w:tcW w:type="dxa" w:w="2924"/>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Inputs needed</w:t>
            </w:r>
          </w:p>
        </w:tc>
        <w:tc>
          <w:tcPr>
            <w:tcW w:type="dxa" w:w="4093"/>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If missing, the system says</w:t>
            </w:r>
          </w:p>
        </w:tc>
      </w:tr>
      <w:tr>
        <w:trPr>
          <w:cantSplit/>
        </w:trPr>
        <w:tc>
          <w:tcPr>
            <w:tcW w:type="dxa" w:w="272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Single-image VQA / grounding</w:t>
            </w:r>
          </w:p>
        </w:tc>
        <w:tc>
          <w:tcPr>
            <w:tcW w:type="dxa" w:w="292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 1 image (a pair also satisfies it)</w:t>
            </w:r>
          </w:p>
        </w:tc>
        <w:tc>
          <w:tcPr>
            <w:tcW w:type="dxa" w:w="4093"/>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“Upload at least one image.”</w:t>
            </w:r>
          </w:p>
        </w:tc>
      </w:tr>
      <w:tr>
        <w:trPr>
          <w:cantSplit/>
        </w:trPr>
        <w:tc>
          <w:tcPr>
            <w:tcW w:type="dxa" w:w="272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Change analysis</w:t>
            </w:r>
          </w:p>
        </w:tc>
        <w:tc>
          <w:tcPr>
            <w:tcW w:type="dxa" w:w="292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a bi-temporal pair</w:t>
            </w:r>
          </w:p>
        </w:tc>
        <w:tc>
          <w:tcPr>
            <w:tcW w:type="dxa" w:w="4093"/>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“Change analysis needs a bi-temporal pair. Upload an image for T1 and an image for T2.”</w:t>
            </w:r>
          </w:p>
        </w:tc>
      </w:tr>
      <w:tr>
        <w:trPr>
          <w:cantSplit/>
        </w:trPr>
        <w:tc>
          <w:tcPr>
            <w:tcW w:type="dxa" w:w="272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Cross-modal analysis</w:t>
            </w:r>
          </w:p>
        </w:tc>
        <w:tc>
          <w:tcPr>
            <w:tcW w:type="dxa" w:w="292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co-registered optical + SAR</w:t>
            </w:r>
          </w:p>
        </w:tc>
        <w:tc>
          <w:tcPr>
            <w:tcW w:type="dxa" w:w="4093"/>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“Upload a co-registered optical image and a SAR image of the same area.”</w:t>
            </w:r>
          </w:p>
        </w:tc>
      </w:tr>
      <w:tr>
        <w:trPr>
          <w:cantSplit/>
        </w:trPr>
        <w:tc>
          <w:tcPr>
            <w:tcW w:type="dxa" w:w="272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Anything needing geography</w:t>
            </w:r>
          </w:p>
        </w:tc>
        <w:tc>
          <w:tcPr>
            <w:tcW w:type="dxa" w:w="292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a georeferenced raster</w:t>
            </w:r>
          </w:p>
        </w:tc>
        <w:tc>
          <w:tcPr>
            <w:tcW w:type="dxa" w:w="4093"/>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Refuses, naming the missing field (e.g. no CRS)</w:t>
            </w:r>
          </w:p>
        </w:tc>
      </w:tr>
      <w:tr>
        <w:trPr>
          <w:cantSplit/>
        </w:trPr>
        <w:tc>
          <w:tcPr>
            <w:tcW w:type="dxa" w:w="272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Target outside the vocabulary</w:t>
            </w:r>
          </w:p>
        </w:tc>
        <w:tc>
          <w:tcPr>
            <w:tcW w:type="dxa" w:w="292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w:t>
            </w:r>
          </w:p>
        </w:tc>
        <w:tc>
          <w:tcPr>
            <w:tcW w:type="dxa" w:w="4093"/>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Proceeds, then abstains at the confidence gate</w:t>
            </w:r>
          </w:p>
        </w:tc>
      </w:tr>
    </w:tbl>
    <w:p>
      <w:pPr>
        <w:spacing w:after="160"/>
      </w:pPr>
    </w:p>
    <w:p>
      <w:pPr>
        <w:pStyle w:val="Heading2"/>
      </w:pPr>
      <w:bookmarkStart w:name="bm_sol_specialists" w:id="1"/>
      <w:r>
        <w:t xml:space="preserve">3.5   The four specialists</w:t>
      </w:r>
      <w:bookmarkEnd w:id="1"/>
    </w:p>
    <w:p>
      <w:pPr>
        <w:pStyle w:val="Heading3"/>
      </w:pPr>
      <w:r>
        <w:t xml:space="preserve">Single-image VQA — the remote-sensing-adapted model (M1)</w:t>
      </w:r>
    </w:p>
    <w:p>
      <w:pPr>
        <w:jc w:val="both"/>
      </w:pPr>
      <w:r>
        <w:t xml:space="preserve">Questions about one image (“how many bridges?”, “is there water?”, “what type of area is this?”) are answered by </w:t>
      </w:r>
      <w:r>
        <w:rPr>
          <w:b/>
          <w:bCs/>
        </w:rPr>
        <w:t xml:space="preserve">M1</w:t>
      </w:r>
      <w:r>
        <w:t xml:space="preserve">, our QLoRA-adapted Qwen2-VL-7B (Section 4), alongside classical measurements (spectral indices, segmentation). For </w:t>
      </w:r>
      <w:r>
        <w:rPr>
          <w:i/>
          <w:iCs/>
        </w:rPr>
        <w:t xml:space="preserve">what / where / which</w:t>
      </w:r>
      <w:r>
        <w:t xml:space="preserve"> questions M1 leads the answer; for </w:t>
      </w:r>
      <w:r>
        <w:rPr>
          <w:i/>
          <w:iCs/>
        </w:rPr>
        <w:t xml:space="preserve">counts and areas</w:t>
      </w:r>
      <w:r>
        <w:t xml:space="preserve"> a </w:t>
      </w:r>
      <w:r>
        <w:rPr>
          <w:b/>
          <w:bCs/>
        </w:rPr>
        <w:t xml:space="preserve">measured</w:t>
      </w:r>
      <w:r>
        <w:t xml:space="preserve"> value leads, because M1 counts less reliably (object-quantity accuracy 0.56). When M1 disagrees with a measurement, the disagreement is recorded as a conflict and confidence drops. SAR is never shown to M1, which was trained on optical imagery.</w:t>
      </w:r>
    </w:p>
    <w:p>
      <w:pPr>
        <w:pStyle w:val="Heading3"/>
      </w:pPr>
      <w:r>
        <w:t xml:space="preserve">Text-guided region grounding (second single-image task)</w:t>
      </w:r>
    </w:p>
    <w:p>
      <w:pPr>
        <w:jc w:val="both"/>
      </w:pPr>
      <w:r>
        <w:t xml:space="preserve">“Highlight the water body” returns boxes and masks that are converted through the GeoTIFF geotransform into latitude/longitude, drawn on the map and exported as GeoJSON. We chose grounding over captioning (ADR-002) because a box is verifiable in one second, it feeds the map and the evidence layer, and it is scored by an objective geometric metric (IoU) rather than word-overlap metrics. The current implementation uses NDVI/NDWI spectral indices and multi-level Otsu thresholding </w:t>
      </w:r>
      <w:hyperlink w:history="1" w:anchor="bm_ref_35">
        <w:r>
          <w:rPr>
            <w:color w:val="2A78D6"/>
          </w:rPr>
          <w:t xml:space="preserve">[35]</w:t>
        </w:r>
      </w:hyperlink>
      <w:r>
        <w:t xml:space="preserve"> with connected components; the M2 adapter is planned.</w:t>
      </w:r>
    </w:p>
    <w:p>
      <w:pPr>
        <w:pStyle w:val="Heading3"/>
      </w:pPr>
      <w:r>
        <w:t xml:space="preserve">Bi-temporal change analysis</w:t>
      </w:r>
    </w:p>
    <w:p>
      <w:pPr>
        <w:jc w:val="both"/>
      </w:pPr>
      <w:r>
        <w:t xml:space="preserve">Given images for T1 and T2 of the same area, the change specialist performs change vector analysis, finds changed regions, measures them in hectares and characterises the change (for example, a mean NDVI drop of −0.707 inside the changed region is consistent with construction). The planned M3 model is a Siamese encoder with a difference head, trained on CDVQA </w:t>
      </w:r>
      <w:hyperlink w:history="1" w:anchor="bm_ref_7">
        <w:r>
          <w:rPr>
            <w:color w:val="2A78D6"/>
          </w:rPr>
          <w:t xml:space="preserve">[7]</w:t>
        </w:r>
      </w:hyperlink>
      <w:r>
        <w:t xml:space="preserve">.</w:t>
      </w:r>
    </w:p>
    <w:p>
      <w:pPr>
        <w:keepNext/>
        <w:spacing w:after="0" w:before="120"/>
        <w:jc w:val="center"/>
      </w:pPr>
      <w:r>
        <w:drawing>
          <wp:inline distT="0" distB="0" distL="0" distR="0">
            <wp:extent cx="520065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00650" cy="4191000"/>
                    </a:xfrm>
                    <a:prstGeom prst="rect">
                      <a:avLst/>
                    </a:prstGeom>
                  </pic:spPr>
                </pic:pic>
              </a:graphicData>
            </a:graphic>
          </wp:inline>
        </w:drawing>
      </w:r>
    </w:p>
    <w:p>
      <w:pPr>
        <w:keepLines/>
        <w:spacing w:after="220" w:before="60"/>
        <w:jc w:val="center"/>
      </w:pPr>
      <w:r>
        <w:rPr>
          <w:b/>
          <w:bCs/>
          <w:color w:val="0B2545"/>
          <w:sz w:val="17"/>
          <w:szCs w:val="17"/>
        </w:rPr>
        <w:t xml:space="preserve">Figure 8. </w:t>
      </w:r>
      <w:r>
        <w:rPr>
          <w:i/>
          <w:iCs/>
          <w:color w:val="6B7280"/>
          <w:sz w:val="17"/>
          <w:szCs w:val="17"/>
        </w:rPr>
        <w:t xml:space="preserve">Change analysis: the built classical path and the planned learned model.</w:t>
      </w:r>
    </w:p>
    <w:p>
      <w:pPr>
        <w:pStyle w:val="Heading3"/>
      </w:pPr>
      <w:r>
        <w:t xml:space="preserve">Optical–SAR cross-modal fusion</w:t>
      </w:r>
    </w:p>
    <w:p>
      <w:pPr>
        <w:jc w:val="both"/>
      </w:pPr>
      <w:r>
        <w:t xml:space="preserve">This is where SatQuery shows why two sensors beat one. SAR is processed on its own path — Lee speckle filtering </w:t>
      </w:r>
      <w:hyperlink w:history="1" w:anchor="bm_ref_34">
        <w:r>
          <w:rPr>
            <w:color w:val="2A78D6"/>
          </w:rPr>
          <w:t xml:space="preserve">[34]</w:t>
        </w:r>
      </w:hyperlink>
      <w:r>
        <w:t xml:space="preserve"> followed by Otsu thresholding </w:t>
      </w:r>
      <w:hyperlink w:history="1" w:anchor="bm_ref_35">
        <w:r>
          <w:rPr>
            <w:color w:val="2A78D6"/>
          </w:rPr>
          <w:t xml:space="preserve">[35]</w:t>
        </w:r>
      </w:hyperlink>
      <w:r>
        <w:t xml:space="preserve"> on backscatter — never converted to a greyscale photograph (ADR-003). Optical imagery provides cloud masks and vegetation indices. The two conclusions are combined by </w:t>
      </w:r>
      <w:r>
        <w:rPr>
          <w:b/>
          <w:bCs/>
        </w:rPr>
        <w:t xml:space="preserve">late fusion</w:t>
      </w:r>
      <w:r>
        <w:t xml:space="preserve"> (ADR-005), which keeps “optical said X, SAR said Y” visible and lets conflicts lower confidence instead of being silently resolved.</w:t>
      </w:r>
    </w:p>
    <w:p>
      <w:pPr>
        <w:keepNext/>
        <w:spacing w:after="0" w:before="120"/>
        <w:jc w:val="center"/>
      </w:pPr>
      <w:r>
        <w:drawing>
          <wp:inline distT="0" distB="0" distL="0" distR="0">
            <wp:extent cx="618172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81725" cy="3571875"/>
                    </a:xfrm>
                    <a:prstGeom prst="rect">
                      <a:avLst/>
                    </a:prstGeom>
                  </pic:spPr>
                </pic:pic>
              </a:graphicData>
            </a:graphic>
          </wp:inline>
        </w:drawing>
      </w:r>
    </w:p>
    <w:p>
      <w:pPr>
        <w:keepLines/>
        <w:spacing w:after="220" w:before="60"/>
        <w:jc w:val="center"/>
      </w:pPr>
      <w:r>
        <w:rPr>
          <w:b/>
          <w:bCs/>
          <w:color w:val="0B2545"/>
          <w:sz w:val="17"/>
          <w:szCs w:val="17"/>
        </w:rPr>
        <w:t xml:space="preserve">Figure 9. </w:t>
      </w:r>
      <w:r>
        <w:rPr>
          <w:i/>
          <w:iCs/>
          <w:color w:val="6B7280"/>
          <w:sz w:val="17"/>
          <w:szCs w:val="17"/>
        </w:rPr>
        <w:t xml:space="preserve">Optical–SAR late fusion. The key output is the built-up area that only radar can see.</w:t>
      </w:r>
    </w:p>
    <w:p>
      <w:pPr>
        <w:pStyle w:val="Heading2"/>
      </w:pPr>
      <w:bookmarkStart w:name="bm_sol_evidence" w:id="1"/>
      <w:r>
        <w:t xml:space="preserve">3.6   Evidence, confidence and the execution trace</w:t>
      </w:r>
      <w:bookmarkEnd w:id="1"/>
    </w:p>
    <w:p>
      <w:pPr>
        <w:jc w:val="both"/>
      </w:pPr>
      <w:r>
        <w:t xml:space="preserve">Every specialist returns the same normalised </w:t>
      </w:r>
      <w:r>
        <w:rPr>
          <w:b/>
          <w:bCs/>
        </w:rPr>
        <w:t xml:space="preserve">evidence record</w:t>
      </w:r>
      <w:r>
        <w:t xml:space="preserve">, so fusion, the map, the report and the answer layer all read one format: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none" w:color="FFFFFF" w:sz="0"/>
              <w:left w:val="single" w:color="EDA100" w:sz="30"/>
              <w:bottom w:val="none" w:color="FFFFFF" w:sz="0"/>
              <w:right w:val="none" w:color="FFFFFF" w:sz="0"/>
            </w:tcBorders>
            <w:shd w:fill="0F1B2D" w:color="auto" w:val="clear"/>
            <w:tcMar>
              <w:top w:type="dxa" w:w="120"/>
              <w:left w:type="dxa" w:w="180"/>
              <w:bottom w:type="dxa" w:w="120"/>
              <w:right w:type="dxa" w:w="180"/>
            </w:tcMar>
          </w:tcPr>
          <w:p>
            <w:pPr>
              <w:spacing w:after="0" w:line="240"/>
            </w:pPr>
            <w:r>
              <w:rPr>
                <w:rFonts w:ascii="Consolas" w:cs="Consolas" w:eastAsia="Consolas" w:hAnsi="Consolas"/>
                <w:color w:val="E6EDF6"/>
                <w:sz w:val="16"/>
                <w:szCs w:val="16"/>
              </w:rPr>
              <w:t xml:space="preserve">{</w:t>
            </w:r>
          </w:p>
          <w:p>
            <w:pPr>
              <w:spacing w:after="0" w:line="240"/>
            </w:pPr>
            <w:r>
              <w:rPr>
                <w:rFonts w:ascii="Consolas" w:cs="Consolas" w:eastAsia="Consolas" w:hAnsi="Consolas"/>
                <w:color w:val="E6EDF6"/>
                <w:sz w:val="16"/>
                <w:szCs w:val="16"/>
              </w:rPr>
              <w:t xml:space="preserve">  "claim": "built-up areas recovered by SAR beneath cloud",</w:t>
            </w:r>
          </w:p>
          <w:p>
            <w:pPr>
              <w:spacing w:after="0" w:line="240"/>
            </w:pPr>
            <w:r>
              <w:rPr>
                <w:rFonts w:ascii="Consolas" w:cs="Consolas" w:eastAsia="Consolas" w:hAnsi="Consolas"/>
                <w:color w:val="E6EDF6"/>
                <w:sz w:val="16"/>
                <w:szCs w:val="16"/>
              </w:rPr>
              <w:t xml:space="preserve">  "value": 1, "unit": "areas", "confidence": 0.93,</w:t>
            </w:r>
          </w:p>
          <w:p>
            <w:pPr>
              <w:spacing w:after="0" w:line="240"/>
            </w:pPr>
            <w:r>
              <w:rPr>
                <w:rFonts w:ascii="Consolas" w:cs="Consolas" w:eastAsia="Consolas" w:hAnsi="Consolas"/>
                <w:color w:val="E6EDF6"/>
                <w:sz w:val="16"/>
                <w:szCs w:val="16"/>
              </w:rPr>
              <w:t xml:space="preserve">  "modality": "fused",                      // optical | sar | fused | temporal | derived</w:t>
            </w:r>
          </w:p>
          <w:p>
            <w:pPr>
              <w:spacing w:after="0" w:line="240"/>
            </w:pPr>
            <w:r>
              <w:rPr>
                <w:rFonts w:ascii="Consolas" w:cs="Consolas" w:eastAsia="Consolas" w:hAnsi="Consolas"/>
                <w:color w:val="E6EDF6"/>
                <w:sz w:val="16"/>
                <w:szCs w:val="16"/>
              </w:rPr>
              <w:t xml:space="preserve">  "source": { "model": "fusion_late_v0", "version": "0.1.0" },</w:t>
            </w:r>
          </w:p>
          <w:p>
            <w:pPr>
              <w:spacing w:after="0" w:line="240"/>
            </w:pPr>
            <w:r>
              <w:rPr>
                <w:rFonts w:ascii="Consolas" w:cs="Consolas" w:eastAsia="Consolas" w:hAnsi="Consolas"/>
                <w:color w:val="E6EDF6"/>
                <w:sz w:val="16"/>
                <w:szCs w:val="16"/>
              </w:rPr>
              <w:t xml:space="preserve">  "spatial_evidence": [</w:t>
            </w:r>
          </w:p>
          <w:p>
            <w:pPr>
              <w:spacing w:after="0" w:line="240"/>
            </w:pPr>
            <w:r>
              <w:rPr>
                <w:rFonts w:ascii="Consolas" w:cs="Consolas" w:eastAsia="Consolas" w:hAnsi="Consolas"/>
                <w:color w:val="E6EDF6"/>
                <w:sz w:val="16"/>
                <w:szCs w:val="16"/>
              </w:rPr>
              <w:t xml:space="preserve">    { "geometry": "POLYGON((...))", "crs": "EPSG:4326", "area_ha": 1466.7 }</w:t>
            </w:r>
          </w:p>
          <w:p>
            <w:pPr>
              <w:spacing w:after="0" w:line="240"/>
            </w:pPr>
            <w:r>
              <w:rPr>
                <w:rFonts w:ascii="Consolas" w:cs="Consolas" w:eastAsia="Consolas" w:hAnsi="Consolas"/>
                <w:color w:val="E6EDF6"/>
                <w:sz w:val="16"/>
                <w:szCs w:val="16"/>
              </w:rPr>
              <w:t xml:space="preserve">  ],</w:t>
            </w:r>
          </w:p>
          <w:p>
            <w:pPr>
              <w:spacing w:after="0" w:line="240"/>
            </w:pPr>
            <w:r>
              <w:rPr>
                <w:rFonts w:ascii="Consolas" w:cs="Consolas" w:eastAsia="Consolas" w:hAnsi="Consolas"/>
                <w:color w:val="E6EDF6"/>
                <w:sz w:val="16"/>
                <w:szCs w:val="16"/>
              </w:rPr>
              <w:t xml:space="preserve">  "supporting": ["cloud obscures 6.0 % of the optical scene"],</w:t>
            </w:r>
          </w:p>
          <w:p>
            <w:pPr>
              <w:spacing w:after="0" w:line="240"/>
            </w:pPr>
            <w:r>
              <w:rPr>
                <w:rFonts w:ascii="Consolas" w:cs="Consolas" w:eastAsia="Consolas" w:hAnsi="Consolas"/>
                <w:color w:val="E6EDF6"/>
                <w:sz w:val="16"/>
                <w:szCs w:val="16"/>
              </w:rPr>
              <w:t xml:space="preserve">  "conflicts": [],                          // each disagreement lowers confidence</w:t>
            </w:r>
          </w:p>
          <w:p>
            <w:pPr>
              <w:spacing w:after="0" w:line="240"/>
            </w:pPr>
            <w:r>
              <w:rPr>
                <w:rFonts w:ascii="Consolas" w:cs="Consolas" w:eastAsia="Consolas" w:hAnsi="Consolas"/>
                <w:color w:val="E6EDF6"/>
                <w:sz w:val="16"/>
                <w:szCs w:val="16"/>
              </w:rPr>
              <w:t xml:space="preserve">  "method": "Lee filter + Otsu on backscatter, late fusion"</w:t>
            </w:r>
          </w:p>
          <w:p>
            <w:pPr>
              <w:spacing w:after="0" w:line="240"/>
            </w:pPr>
            <w:r>
              <w:rPr>
                <w:rFonts w:ascii="Consolas" w:cs="Consolas" w:eastAsia="Consolas" w:hAnsi="Consolas"/>
                <w:color w:val="E6EDF6"/>
                <w:sz w:val="16"/>
                <w:szCs w:val="16"/>
              </w:rPr>
              <w:t xml:space="preserve">}</w:t>
            </w:r>
          </w:p>
        </w:tc>
      </w:tr>
    </w:tbl>
    <w:p>
      <w:pPr>
        <w:spacing w:after="160"/>
      </w:pPr>
    </w:p>
    <w:p>
      <w:pPr>
        <w:jc w:val="both"/>
      </w:pPr>
      <w:r>
        <w:t xml:space="preserve">The </w:t>
      </w:r>
      <w:r>
        <w:rPr>
          <w:b/>
          <w:bCs/>
        </w:rPr>
        <w:t xml:space="preserve">execution trace</w:t>
      </w:r>
      <w:r>
        <w:t xml:space="preserve"> is a factual audit log — the observable record the problem statement says it will evaluate. Below is a real trace produced by the running system for the cross-modal query (from </w:t>
      </w:r>
      <w:r>
        <w:rPr>
          <w:rFonts w:ascii="Consolas" w:cs="Consolas" w:eastAsia="Consolas" w:hAnsi="Consolas"/>
          <w:sz w:val="19"/>
          <w:szCs w:val="19"/>
          <w:shd w:fill="EEF1F5" w:color="auto" w:val="clear"/>
        </w:rPr>
        <w:t xml:space="preserve">python -m satquery.cli demo</w:t>
      </w:r>
      <w: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none" w:color="FFFFFF" w:sz="0"/>
              <w:left w:val="single" w:color="EDA100" w:sz="30"/>
              <w:bottom w:val="none" w:color="FFFFFF" w:sz="0"/>
              <w:right w:val="none" w:color="FFFFFF" w:sz="0"/>
            </w:tcBorders>
            <w:shd w:fill="0F1B2D" w:color="auto" w:val="clear"/>
            <w:tcMar>
              <w:top w:type="dxa" w:w="120"/>
              <w:left w:type="dxa" w:w="180"/>
              <w:bottom w:type="dxa" w:w="120"/>
              <w:right w:type="dxa" w:w="180"/>
            </w:tcMar>
          </w:tcPr>
          <w:p>
            <w:pPr>
              <w:spacing w:after="0" w:line="240"/>
            </w:pPr>
            <w:r>
              <w:rPr>
                <w:rFonts w:ascii="Consolas" w:cs="Consolas" w:eastAsia="Consolas" w:hAnsi="Consolas"/>
                <w:color w:val="E6EDF6"/>
                <w:sz w:val="16"/>
                <w:szCs w:val="16"/>
              </w:rPr>
              <w:t xml:space="preserve">query    use the optical and SAR images together to identify built-up regions</w:t>
            </w:r>
          </w:p>
          <w:p>
            <w:pPr>
              <w:spacing w:after="0" w:line="240"/>
            </w:pPr>
            <w:r>
              <w:rPr>
                <w:rFonts w:ascii="Consolas" w:cs="Consolas" w:eastAsia="Consolas" w:hAnsi="Consolas"/>
                <w:color w:val="E6EDF6"/>
                <w:sz w:val="16"/>
                <w:szCs w:val="16"/>
              </w:rPr>
              <w:t xml:space="preserve">task     cross_modal    tools: optical_sar    engine: classical    64 ms</w:t>
            </w:r>
          </w:p>
          <w:p>
            <w:pPr>
              <w:spacing w:after="0" w:line="240"/>
            </w:pPr>
            <w:r>
              <w:rPr>
                <w:rFonts w:ascii="Consolas" w:cs="Consolas" w:eastAsia="Consolas" w:hAnsi="Consolas"/>
                <w:color w:val="E6EDF6"/>
                <w:sz w:val="16"/>
                <w:szCs w:val="16"/>
              </w:rPr>
              <w:t xml:space="preserve"> </w:t>
            </w:r>
          </w:p>
          <w:p>
            <w:pPr>
              <w:spacing w:after="0" w:line="240"/>
            </w:pPr>
            <w:r>
              <w:rPr>
                <w:rFonts w:ascii="Consolas" w:cs="Consolas" w:eastAsia="Consolas" w:hAnsi="Consolas"/>
                <w:color w:val="E6EDF6"/>
                <w:sz w:val="16"/>
                <w:szCs w:val="16"/>
              </w:rPr>
              <w:t xml:space="preserve">  ✓ Input validated          2 raster(s) · optical_sar</w:t>
            </w:r>
          </w:p>
          <w:p>
            <w:pPr>
              <w:spacing w:after="0" w:line="240"/>
            </w:pPr>
            <w:r>
              <w:rPr>
                <w:rFonts w:ascii="Consolas" w:cs="Consolas" w:eastAsia="Consolas" w:hAnsi="Consolas"/>
                <w:color w:val="E6EDF6"/>
                <w:sz w:val="16"/>
                <w:szCs w:val="16"/>
              </w:rPr>
              <w:t xml:space="preserve">  ✓ Task identified          cross_modal · matched /optical and/</w:t>
            </w:r>
          </w:p>
          <w:p>
            <w:pPr>
              <w:spacing w:after="0" w:line="240"/>
            </w:pPr>
            <w:r>
              <w:rPr>
                <w:rFonts w:ascii="Consolas" w:cs="Consolas" w:eastAsia="Consolas" w:hAnsi="Consolas"/>
                <w:color w:val="E6EDF6"/>
                <w:sz w:val="16"/>
                <w:szCs w:val="16"/>
              </w:rPr>
              <w:t xml:space="preserve">  ✓ Compatibility check      optical_sar satisfies optical_sar</w:t>
            </w:r>
          </w:p>
          <w:p>
            <w:pPr>
              <w:spacing w:after="0" w:line="240"/>
            </w:pPr>
            <w:r>
              <w:rPr>
                <w:rFonts w:ascii="Consolas" w:cs="Consolas" w:eastAsia="Consolas" w:hAnsi="Consolas"/>
                <w:color w:val="E6EDF6"/>
                <w:sz w:val="16"/>
                <w:szCs w:val="16"/>
              </w:rPr>
              <w:t xml:space="preserve">  ✓ Tool selected            optical_sar (fusion_late_v0)</w:t>
            </w:r>
          </w:p>
          <w:p>
            <w:pPr>
              <w:spacing w:after="0" w:line="240"/>
            </w:pPr>
            <w:r>
              <w:rPr>
                <w:rFonts w:ascii="Consolas" w:cs="Consolas" w:eastAsia="Consolas" w:hAnsi="Consolas"/>
                <w:color w:val="E6EDF6"/>
                <w:sz w:val="16"/>
                <w:szCs w:val="16"/>
              </w:rPr>
              <w:t xml:space="preserve">  ✓ Parameters               threshold=0.45</w:t>
            </w:r>
          </w:p>
          <w:p>
            <w:pPr>
              <w:spacing w:after="0" w:line="240"/>
            </w:pPr>
            <w:r>
              <w:rPr>
                <w:rFonts w:ascii="Consolas" w:cs="Consolas" w:eastAsia="Consolas" w:hAnsi="Consolas"/>
                <w:color w:val="E6EDF6"/>
                <w:sz w:val="16"/>
                <w:szCs w:val="16"/>
              </w:rPr>
              <w:t xml:space="preserve">  ✓ Co-registration checked  optical/sar · offset 0.00 px (tolerance 2 px)</w:t>
            </w:r>
          </w:p>
          <w:p>
            <w:pPr>
              <w:spacing w:after="0" w:line="240"/>
            </w:pPr>
            <w:r>
              <w:rPr>
                <w:rFonts w:ascii="Consolas" w:cs="Consolas" w:eastAsia="Consolas" w:hAnsi="Consolas"/>
                <w:color w:val="E6EDF6"/>
                <w:sz w:val="16"/>
                <w:szCs w:val="16"/>
              </w:rPr>
              <w:t xml:space="preserve">  ✓ Executed optical_sar     5 evidence item(s) · path classical</w:t>
            </w:r>
          </w:p>
          <w:p>
            <w:pPr>
              <w:spacing w:after="0" w:line="240"/>
            </w:pPr>
            <w:r>
              <w:rPr>
                <w:rFonts w:ascii="Consolas" w:cs="Consolas" w:eastAsia="Consolas" w:hAnsi="Consolas"/>
                <w:color w:val="E6EDF6"/>
                <w:sz w:val="16"/>
                <w:szCs w:val="16"/>
              </w:rPr>
              <w:t xml:space="preserve">  ✓ Confidence               0.93 · 5/5 items passed the gate</w:t>
            </w:r>
          </w:p>
          <w:p>
            <w:pPr>
              <w:spacing w:after="0" w:line="240"/>
            </w:pPr>
            <w:r>
              <w:rPr>
                <w:rFonts w:ascii="Consolas" w:cs="Consolas" w:eastAsia="Consolas" w:hAnsi="Consolas"/>
                <w:color w:val="E6EDF6"/>
                <w:sz w:val="16"/>
                <w:szCs w:val="16"/>
              </w:rPr>
              <w:t xml:space="preserve">  ✓ Evidence returned        7 feature(s) · EPSG:4326</w:t>
            </w:r>
          </w:p>
        </w:tc>
      </w:tr>
    </w:tbl>
    <w:p>
      <w:pPr>
        <w:spacing w:after="160"/>
      </w:pPr>
    </w:p>
    <w:p>
      <w:pPr>
        <w:pStyle w:val="Heading2"/>
      </w:pPr>
      <w:bookmarkStart w:name="bm_sol_example" w:id="1"/>
      <w:r>
        <w:t xml:space="preserve">3.7   Worked example — seeing under cloud</w:t>
      </w:r>
      <w:bookmarkEnd w:id="1"/>
    </w:p>
    <w:p>
      <w:pPr>
        <w:jc w:val="both"/>
      </w:pPr>
      <w:r>
        <w:t xml:space="preserve">For the query </w:t>
      </w:r>
      <w:r>
        <w:rPr>
          <w:i/>
          <w:iCs/>
        </w:rPr>
        <w:t xml:space="preserve">“Use the optical and SAR images together to identify built-up regions”</w:t>
      </w:r>
      <w:r>
        <w:t xml:space="preserve"> on the cross-modal demo scene, the system answered: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none" w:color="FFFFFF" w:sz="0"/>
              <w:left w:val="single" w:color="2A78D6" w:sz="30"/>
              <w:bottom w:val="none" w:color="FFFFFF" w:sz="0"/>
              <w:right w:val="none" w:color="FFFFFF" w:sz="0"/>
            </w:tcBorders>
            <w:shd w:fill="EEF4FC" w:color="auto" w:val="clear"/>
            <w:tcMar>
              <w:top w:type="dxa" w:w="120"/>
              <w:left w:type="dxa" w:w="180"/>
              <w:bottom w:type="dxa" w:w="120"/>
              <w:right w:type="dxa" w:w="180"/>
            </w:tcMar>
          </w:tcPr>
          <w:p>
            <w:pPr>
              <w:spacing w:after="60"/>
            </w:pPr>
            <w:r>
              <w:rPr>
                <w:rFonts w:ascii="Segoe UI" w:cs="Segoe UI" w:eastAsia="Segoe UI" w:hAnsi="Segoe UI"/>
                <w:b/>
                <w:bCs/>
                <w:color w:val="0B2545"/>
                <w:spacing w:val="20"/>
                <w:sz w:val="17"/>
                <w:szCs w:val="17"/>
              </w:rPr>
              <w:t xml:space="preserve">SYSTEM ANSWER (CONFIDENCE 0.93)</w:t>
            </w:r>
          </w:p>
          <w:p>
            <w:pPr>
              <w:spacing w:after="0"/>
            </w:pPr>
            <w:r>
              <w:t xml:space="preserve">“SAR detects 6 built-up areas totalling 2,539.0 ha. Cloud obscures 6.0 % of the optical scene. 1 of them — 1,466.7 ha — lies beneath that cloud and is invisible to the optical sensor. Radar recovered it because radar penetrates cloud and built structures return strongly from corner reflection. That is information neither sensor provides alone.”</w:t>
            </w:r>
          </w:p>
        </w:tc>
      </w:tr>
    </w:tbl>
    <w:p>
      <w:pPr>
        <w:spacing w:after="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83"/>
        <w:gridCol w:w="1754"/>
        <w:gridCol w:w="1559"/>
        <w:gridCol w:w="1950"/>
      </w:tblGrid>
      <w:tr>
        <w:trPr>
          <w:tblHeader/>
        </w:trPr>
        <w:tc>
          <w:tcPr>
            <w:tcW w:type="dxa" w:w="4483"/>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Evidence item</w:t>
            </w:r>
          </w:p>
        </w:tc>
        <w:tc>
          <w:tcPr>
            <w:tcW w:type="dxa" w:w="1754"/>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Value</w:t>
            </w:r>
          </w:p>
        </w:tc>
        <w:tc>
          <w:tcPr>
            <w:tcW w:type="dxa" w:w="1559"/>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Confidence</w:t>
            </w:r>
          </w:p>
        </w:tc>
        <w:tc>
          <w:tcPr>
            <w:tcW w:type="dxa" w:w="1950"/>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Modality</w:t>
            </w:r>
          </w:p>
        </w:tc>
      </w:tr>
      <w:tr>
        <w:trPr>
          <w:cantSplit/>
        </w:trPr>
        <w:tc>
          <w:tcPr>
            <w:tcW w:type="dxa" w:w="4483"/>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Co-registration verified</w:t>
            </w:r>
          </w:p>
        </w:tc>
        <w:tc>
          <w:tcPr>
            <w:tcW w:type="dxa" w:w="175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0.0 px offset</w:t>
            </w:r>
          </w:p>
        </w:tc>
        <w:tc>
          <w:tcPr>
            <w:tcW w:type="dxa" w:w="155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0.95</w:t>
            </w:r>
          </w:p>
        </w:tc>
        <w:tc>
          <w:tcPr>
            <w:tcW w:type="dxa" w:w="1950"/>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fused</w:t>
            </w:r>
          </w:p>
        </w:tc>
      </w:tr>
      <w:tr>
        <w:trPr>
          <w:cantSplit/>
        </w:trPr>
        <w:tc>
          <w:tcPr>
            <w:tcW w:type="dxa" w:w="4483"/>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Optical scene obscured by cloud</w:t>
            </w:r>
          </w:p>
        </w:tc>
        <w:tc>
          <w:tcPr>
            <w:tcW w:type="dxa" w:w="175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6.0 %</w:t>
            </w:r>
          </w:p>
        </w:tc>
        <w:tc>
          <w:tcPr>
            <w:tcW w:type="dxa" w:w="155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0.88</w:t>
            </w:r>
          </w:p>
        </w:tc>
        <w:tc>
          <w:tcPr>
            <w:tcW w:type="dxa" w:w="1950"/>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optical</w:t>
            </w:r>
          </w:p>
        </w:tc>
      </w:tr>
      <w:tr>
        <w:trPr>
          <w:cantSplit/>
        </w:trPr>
        <w:tc>
          <w:tcPr>
            <w:tcW w:type="dxa" w:w="4483"/>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Built-up areas detected by backscatter</w:t>
            </w:r>
          </w:p>
        </w:tc>
        <w:tc>
          <w:tcPr>
            <w:tcW w:type="dxa" w:w="175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6 areas</w:t>
            </w:r>
          </w:p>
        </w:tc>
        <w:tc>
          <w:tcPr>
            <w:tcW w:type="dxa" w:w="155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0.97</w:t>
            </w:r>
          </w:p>
        </w:tc>
        <w:tc>
          <w:tcPr>
            <w:tcW w:type="dxa" w:w="1950"/>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SAR</w:t>
            </w:r>
          </w:p>
        </w:tc>
      </w:tr>
      <w:tr>
        <w:trPr>
          <w:cantSplit/>
        </w:trPr>
        <w:tc>
          <w:tcPr>
            <w:tcW w:type="dxa" w:w="4483"/>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Built-up areas recovered by SAR beneath cloud</w:t>
            </w:r>
          </w:p>
        </w:tc>
        <w:tc>
          <w:tcPr>
            <w:tcW w:type="dxa" w:w="175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1 area (1,466.7 ha)</w:t>
            </w:r>
          </w:p>
        </w:tc>
        <w:tc>
          <w:tcPr>
            <w:tcW w:type="dxa" w:w="155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0.93</w:t>
            </w:r>
          </w:p>
        </w:tc>
        <w:tc>
          <w:tcPr>
            <w:tcW w:type="dxa" w:w="1950"/>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fused</w:t>
            </w:r>
          </w:p>
        </w:tc>
      </w:tr>
      <w:tr>
        <w:trPr>
          <w:cantSplit/>
        </w:trPr>
        <w:tc>
          <w:tcPr>
            <w:tcW w:type="dxa" w:w="4483"/>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Cross-modal agreement in clear sky</w:t>
            </w:r>
          </w:p>
        </w:tc>
        <w:tc>
          <w:tcPr>
            <w:tcW w:type="dxa" w:w="175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98.36 %</w:t>
            </w:r>
          </w:p>
        </w:tc>
        <w:tc>
          <w:tcPr>
            <w:tcW w:type="dxa" w:w="155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0.94</w:t>
            </w:r>
          </w:p>
        </w:tc>
        <w:tc>
          <w:tcPr>
            <w:tcW w:type="dxa" w:w="1950"/>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fused</w:t>
            </w:r>
          </w:p>
        </w:tc>
      </w:tr>
    </w:tbl>
    <w:p>
      <w:pPr>
        <w:spacing w:after="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none" w:color="FFFFFF" w:sz="0"/>
              <w:left w:val="single" w:color="B42318" w:sz="30"/>
              <w:bottom w:val="none" w:color="FFFFFF" w:sz="0"/>
              <w:right w:val="none" w:color="FFFFFF" w:sz="0"/>
            </w:tcBorders>
            <w:shd w:fill="FDF1F0" w:color="auto" w:val="clear"/>
            <w:tcMar>
              <w:top w:type="dxa" w:w="120"/>
              <w:left w:type="dxa" w:w="180"/>
              <w:bottom w:type="dxa" w:w="120"/>
              <w:right w:type="dxa" w:w="180"/>
            </w:tcMar>
          </w:tcPr>
          <w:p>
            <w:pPr>
              <w:spacing w:after="60"/>
            </w:pPr>
            <w:r>
              <w:rPr>
                <w:rFonts w:ascii="Segoe UI" w:cs="Segoe UI" w:eastAsia="Segoe UI" w:hAnsi="Segoe UI"/>
                <w:b/>
                <w:bCs/>
                <w:color w:val="0B2545"/>
                <w:spacing w:val="20"/>
                <w:sz w:val="17"/>
                <w:szCs w:val="17"/>
              </w:rPr>
              <w:t xml:space="preserve">DISCLOSURE</w:t>
            </w:r>
          </w:p>
          <w:p>
            <w:pPr>
              <w:spacing w:after="0"/>
            </w:pPr>
            <w:r>
              <w:t xml:space="preserve">The demo scene is </w:t>
            </w:r>
            <w:r>
              <w:rPr>
                <w:b/>
                <w:bCs/>
              </w:rPr>
              <w:t xml:space="preserve">synthetic</w:t>
            </w:r>
            <w:r>
              <w:t xml:space="preserve">: pixels are generated on a real EPSG:4326 geotransform, and the cloud deck is placed over the settlement </w:t>
            </w:r>
            <w:r>
              <w:rPr>
                <w:b/>
                <w:bCs/>
              </w:rPr>
              <w:t xml:space="preserve">on purpose</w:t>
            </w:r>
            <w:r>
              <w:t xml:space="preserve">, because that is the case where the two sensors genuinely differ. It is a designed scenario, not a discovery. The algorithms that read the pixels are real, and uploaded GeoTIFFs are analysed as supplied.</w:t>
            </w:r>
          </w:p>
        </w:tc>
      </w:tr>
    </w:tbl>
    <w:p>
      <w:pPr>
        <w:pStyle w:val="Heading1"/>
        <w:pageBreakBefore/>
        <w:pBdr>
          <w:bottom w:val="single" w:color="0B2545" w:sz="18" w:space="4"/>
        </w:pBdr>
      </w:pPr>
      <w:bookmarkStart w:name="bm_model" w:id="1"/>
      <w:r>
        <w:t xml:space="preserve">4   The Remote-Sensing-Adapted Model (M1)</w:t>
      </w:r>
      <w:bookmarkEnd w:id="1"/>
    </w:p>
    <w:p>
      <w:pPr>
        <w:jc w:val="both"/>
      </w:pPr>
      <w:r>
        <w:t xml:space="preserve">Requirement R1 is the one the problem statement calls disqualifying to omit. This section documents the adapted component end to end: what was trained, on what, how, and — most importantly — the </w:t>
      </w:r>
      <w:r>
        <w:rPr>
          <w:b/>
          <w:bCs/>
        </w:rPr>
        <w:t xml:space="preserve">measured gain</w:t>
      </w:r>
      <w:r>
        <w:t xml:space="preserve"> over the same model without adaptation.</w:t>
      </w:r>
    </w:p>
    <w:p>
      <w:pPr>
        <w:pStyle w:val="Heading2"/>
      </w:pPr>
      <w:bookmarkStart w:name="bm_model_inventory" w:id="1"/>
      <w:r>
        <w:t xml:space="preserve">4.1   Model inventory</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2"/>
        <w:gridCol w:w="2729"/>
        <w:gridCol w:w="3898"/>
        <w:gridCol w:w="2437"/>
      </w:tblGrid>
      <w:tr>
        <w:trPr>
          <w:tblHeader/>
        </w:trPr>
        <w:tc>
          <w:tcPr>
            <w:tcW w:type="dxa" w:w="682"/>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w:t>
            </w:r>
          </w:p>
        </w:tc>
        <w:tc>
          <w:tcPr>
            <w:tcW w:type="dxa" w:w="2729"/>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Component</w:t>
            </w:r>
          </w:p>
        </w:tc>
        <w:tc>
          <w:tcPr>
            <w:tcW w:type="dxa" w:w="3898"/>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Type</w:t>
            </w:r>
          </w:p>
        </w:tc>
        <w:tc>
          <w:tcPr>
            <w:tcW w:type="dxa" w:w="2437"/>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State</w:t>
            </w:r>
          </w:p>
        </w:tc>
      </w:tr>
      <w:tr>
        <w:trPr>
          <w:cantSplit/>
        </w:trPr>
        <w:tc>
          <w:tcPr>
            <w:tcW w:type="dxa" w:w="682"/>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M0</w:t>
            </w:r>
          </w:p>
        </w:tc>
        <w:tc>
          <w:tcPr>
            <w:tcW w:type="dxa" w:w="272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Base vision-language model</w:t>
            </w:r>
          </w:p>
        </w:tc>
        <w:tc>
          <w:tcPr>
            <w:tcW w:type="dxa" w:w="3898"/>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Qwen/Qwen2-VL-7B-Instruct </w:t>
            </w:r>
            <w:hyperlink w:history="1" w:anchor="bm_ref_32">
              <w:r>
                <w:rPr>
                  <w:color w:val="2A78D6"/>
                  <w:sz w:val="19"/>
                  <w:szCs w:val="19"/>
                </w:rPr>
                <w:t xml:space="preserve">[32]</w:t>
              </w:r>
            </w:hyperlink>
            <w:r>
              <w:rPr>
                <w:sz w:val="19"/>
                <w:szCs w:val="19"/>
              </w:rPr>
              <w:t xml:space="preserve">, frozen, 4-bit</w:t>
            </w:r>
          </w:p>
        </w:tc>
        <w:tc>
          <w:tcPr>
            <w:tcW w:type="dxa" w:w="2437"/>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b/>
                <w:bCs/>
                <w:sz w:val="19"/>
                <w:szCs w:val="19"/>
              </w:rPr>
              <w:t xml:space="preserve">Selected by benchmark</w:t>
            </w:r>
          </w:p>
        </w:tc>
      </w:tr>
      <w:tr>
        <w:trPr>
          <w:cantSplit/>
        </w:trPr>
        <w:tc>
          <w:tcPr>
            <w:tcW w:type="dxa" w:w="682"/>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M1</w:t>
            </w:r>
          </w:p>
        </w:tc>
        <w:tc>
          <w:tcPr>
            <w:tcW w:type="dxa" w:w="272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RS-adapted VQA</w:t>
            </w:r>
          </w:p>
        </w:tc>
        <w:tc>
          <w:tcPr>
            <w:tcW w:type="dxa" w:w="3898"/>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QLoRA adapter on M0, trained on VRSBench</w:t>
            </w:r>
          </w:p>
        </w:tc>
        <w:tc>
          <w:tcPr>
            <w:tcW w:type="dxa" w:w="2437"/>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b/>
                <w:bCs/>
                <w:sz w:val="19"/>
                <w:szCs w:val="19"/>
              </w:rPr>
              <w:t xml:space="preserve">Trained · measured · serving</w:t>
            </w:r>
          </w:p>
        </w:tc>
      </w:tr>
      <w:tr>
        <w:trPr>
          <w:cantSplit/>
        </w:trPr>
        <w:tc>
          <w:tcPr>
            <w:tcW w:type="dxa" w:w="682"/>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M2</w:t>
            </w:r>
          </w:p>
        </w:tc>
        <w:tc>
          <w:tcPr>
            <w:tcW w:type="dxa" w:w="272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Grounding</w:t>
            </w:r>
          </w:p>
        </w:tc>
        <w:tc>
          <w:tcPr>
            <w:tcW w:type="dxa" w:w="3898"/>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LoRA adapter on M0 (VRSBench)</w:t>
            </w:r>
          </w:p>
        </w:tc>
        <w:tc>
          <w:tcPr>
            <w:tcW w:type="dxa" w:w="2437"/>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Planned — classical path serves today</w:t>
            </w:r>
          </w:p>
        </w:tc>
      </w:tr>
      <w:tr>
        <w:trPr>
          <w:cantSplit/>
        </w:trPr>
        <w:tc>
          <w:tcPr>
            <w:tcW w:type="dxa" w:w="682"/>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M3</w:t>
            </w:r>
          </w:p>
        </w:tc>
        <w:tc>
          <w:tcPr>
            <w:tcW w:type="dxa" w:w="272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Change / change-VQA</w:t>
            </w:r>
          </w:p>
        </w:tc>
        <w:tc>
          <w:tcPr>
            <w:tcW w:type="dxa" w:w="3898"/>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LoRA adapter + Siamese difference head (CDVQA)</w:t>
            </w:r>
          </w:p>
        </w:tc>
        <w:tc>
          <w:tcPr>
            <w:tcW w:type="dxa" w:w="2437"/>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Planned — classical path serves today</w:t>
            </w:r>
          </w:p>
        </w:tc>
      </w:tr>
      <w:tr>
        <w:trPr>
          <w:cantSplit/>
        </w:trPr>
        <w:tc>
          <w:tcPr>
            <w:tcW w:type="dxa" w:w="682"/>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M4</w:t>
            </w:r>
          </w:p>
        </w:tc>
        <w:tc>
          <w:tcPr>
            <w:tcW w:type="dxa" w:w="272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SAR encoder + fusion</w:t>
            </w:r>
          </w:p>
        </w:tc>
        <w:tc>
          <w:tcPr>
            <w:tcW w:type="dxa" w:w="3898"/>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Separate small encoder (Sentinel-1), late fusion</w:t>
            </w:r>
          </w:p>
        </w:tc>
        <w:tc>
          <w:tcPr>
            <w:tcW w:type="dxa" w:w="2437"/>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Planned — classical path serves today</w:t>
            </w:r>
          </w:p>
        </w:tc>
      </w:tr>
      <w:tr>
        <w:trPr>
          <w:cantSplit/>
        </w:trPr>
        <w:tc>
          <w:tcPr>
            <w:tcW w:type="dxa" w:w="682"/>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M5</w:t>
            </w:r>
          </w:p>
        </w:tc>
        <w:tc>
          <w:tcPr>
            <w:tcW w:type="dxa" w:w="272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Router</w:t>
            </w:r>
          </w:p>
        </w:tc>
        <w:tc>
          <w:tcPr>
            <w:tcW w:type="dxa" w:w="3898"/>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Rule-based classifier; trained classifier planned</w:t>
            </w:r>
          </w:p>
        </w:tc>
        <w:tc>
          <w:tcPr>
            <w:tcW w:type="dxa" w:w="2437"/>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b/>
                <w:bCs/>
                <w:sz w:val="19"/>
                <w:szCs w:val="19"/>
              </w:rPr>
              <w:t xml:space="preserve">Built</w:t>
            </w:r>
            <w:r>
              <w:rPr>
                <w:sz w:val="19"/>
                <w:szCs w:val="19"/>
              </w:rPr>
              <w:t xml:space="preserve"> (rules)</w:t>
            </w:r>
          </w:p>
        </w:tc>
      </w:tr>
      <w:tr>
        <w:trPr>
          <w:cantSplit/>
        </w:trPr>
        <w:tc>
          <w:tcPr>
            <w:tcW w:type="dxa" w:w="682"/>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M6</w:t>
            </w:r>
          </w:p>
        </w:tc>
        <w:tc>
          <w:tcPr>
            <w:tcW w:type="dxa" w:w="272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Answer phrasing</w:t>
            </w:r>
          </w:p>
        </w:tc>
        <w:tc>
          <w:tcPr>
            <w:tcW w:type="dxa" w:w="3898"/>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Constrained templates over evidence records</w:t>
            </w:r>
          </w:p>
        </w:tc>
        <w:tc>
          <w:tcPr>
            <w:tcW w:type="dxa" w:w="2437"/>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b/>
                <w:bCs/>
                <w:sz w:val="19"/>
                <w:szCs w:val="19"/>
              </w:rPr>
              <w:t xml:space="preserve">Built</w:t>
            </w:r>
          </w:p>
        </w:tc>
      </w:tr>
    </w:tbl>
    <w:p>
      <w:pPr>
        <w:spacing w:after="160"/>
      </w:pPr>
    </w:p>
    <w:p>
      <w:pPr>
        <w:keepNext/>
        <w:spacing w:after="0" w:before="120"/>
        <w:jc w:val="center"/>
      </w:pPr>
      <w:r>
        <w:drawing>
          <wp:inline distT="0" distB="0" distL="0" distR="0">
            <wp:extent cx="6181725"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81725" cy="3829050"/>
                    </a:xfrm>
                    <a:prstGeom prst="rect">
                      <a:avLst/>
                    </a:prstGeom>
                  </pic:spPr>
                </pic:pic>
              </a:graphicData>
            </a:graphic>
          </wp:inline>
        </w:drawing>
      </w:r>
    </w:p>
    <w:p>
      <w:pPr>
        <w:keepLines/>
        <w:spacing w:after="220" w:before="60"/>
        <w:jc w:val="center"/>
      </w:pPr>
      <w:r>
        <w:rPr>
          <w:b/>
          <w:bCs/>
          <w:color w:val="0B2545"/>
          <w:sz w:val="17"/>
          <w:szCs w:val="17"/>
        </w:rPr>
        <w:t xml:space="preserve">Figure 10. </w:t>
      </w:r>
      <w:r>
        <w:rPr>
          <w:i/>
          <w:iCs/>
          <w:color w:val="6B7280"/>
          <w:sz w:val="17"/>
          <w:szCs w:val="17"/>
        </w:rPr>
        <w:t xml:space="preserve">One frozen base, many swappable adapters (ADR-001). Solid lines are built; dashed lines are planned.</w:t>
      </w:r>
    </w:p>
    <w:p>
      <w:pPr>
        <w:jc w:val="both"/>
      </w:pPr>
      <w:r>
        <w:rPr>
          <w:b/>
          <w:bCs/>
        </w:rPr>
        <w:t xml:space="preserve">Why one base with adapters:</w:t>
      </w:r>
      <w:r>
        <w:t xml:space="preserve"> four separately fine-tuned 7B models would need </w:t>
      </w:r>
      <w:r>
        <w:rPr>
          <w:rFonts w:ascii="Consolas" w:cs="Consolas" w:eastAsia="Consolas" w:hAnsi="Consolas"/>
          <w:sz w:val="19"/>
          <w:szCs w:val="19"/>
          <w:shd w:fill="EEF1F5" w:color="auto" w:val="clear"/>
        </w:rPr>
        <w:t xml:space="preserve">60 GB of GPU memory; one frozen base with swappable adapters needs </w:t>
      </w:r>
      <w:r>
        <w:t xml:space="preserve">15 GB at 16-bit or ~6 GB at 4-bit, each adapter is a few tens of MB, swaps take milliseconds, and each capability can be ablated independently.</w:t>
      </w:r>
    </w:p>
    <w:p>
      <w:pPr>
        <w:pStyle w:val="Heading2"/>
      </w:pPr>
      <w:bookmarkStart w:name="bm_model_base" w:id="1"/>
      <w:r>
        <w:t xml:space="preserve">4.2   Choosing the base model by benchmark, not reputation</w:t>
      </w:r>
      <w:bookmarkEnd w:id="1"/>
    </w:p>
    <w:p>
      <w:pPr>
        <w:jc w:val="both"/>
      </w:pPr>
      <w:r>
        <w:t xml:space="preserve">The base model is the least reversible decision — every adapter is trained against it — so ADR-010 required it to be chosen by measurement. Two candidates were evaluated: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29"/>
        <w:gridCol w:w="4581"/>
        <w:gridCol w:w="2436"/>
      </w:tblGrid>
      <w:tr>
        <w:trPr>
          <w:tblHeader/>
        </w:trPr>
        <w:tc>
          <w:tcPr>
            <w:tcW w:type="dxa" w:w="2729"/>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Candidate</w:t>
            </w:r>
          </w:p>
        </w:tc>
        <w:tc>
          <w:tcPr>
            <w:tcW w:type="dxa" w:w="4581"/>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Outcome</w:t>
            </w:r>
          </w:p>
        </w:tc>
        <w:tc>
          <w:tcPr>
            <w:tcW w:type="dxa" w:w="2436"/>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Decision</w:t>
            </w:r>
          </w:p>
        </w:tc>
      </w:tr>
      <w:tr>
        <w:trPr>
          <w:cantSplit/>
        </w:trPr>
        <w:tc>
          <w:tcPr>
            <w:tcW w:type="dxa" w:w="272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rFonts w:ascii="Consolas" w:cs="Consolas" w:eastAsia="Consolas" w:hAnsi="Consolas"/>
                <w:sz w:val="17"/>
                <w:szCs w:val="17"/>
                <w:shd w:fill="EEF1F5" w:color="auto" w:val="clear"/>
              </w:rPr>
              <w:t xml:space="preserve">MBZUAI/geochat-7B</w:t>
            </w:r>
            <w:r>
              <w:rPr>
                <w:sz w:val="19"/>
                <w:szCs w:val="19"/>
              </w:rPr>
              <w:t xml:space="preserve"> </w:t>
            </w:r>
            <w:hyperlink w:history="1" w:anchor="bm_ref_9">
              <w:r>
                <w:rPr>
                  <w:color w:val="2A78D6"/>
                  <w:sz w:val="19"/>
                  <w:szCs w:val="19"/>
                </w:rPr>
                <w:t xml:space="preserve">[9]</w:t>
              </w:r>
            </w:hyperlink>
          </w:p>
        </w:tc>
        <w:tc>
          <w:tcPr>
            <w:tcW w:type="dxa" w:w="4581"/>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Could not be loaded: the checkpoint declares </w:t>
            </w:r>
            <w:r>
              <w:rPr>
                <w:rFonts w:ascii="Consolas" w:cs="Consolas" w:eastAsia="Consolas" w:hAnsi="Consolas"/>
                <w:sz w:val="17"/>
                <w:szCs w:val="17"/>
                <w:shd w:fill="EEF1F5" w:color="auto" w:val="clear"/>
              </w:rPr>
              <w:t xml:space="preserve">model_type: geochat</w:t>
            </w:r>
            <w:r>
              <w:rPr>
                <w:sz w:val="19"/>
                <w:szCs w:val="19"/>
              </w:rPr>
              <w:t xml:space="preserve"> with no </w:t>
            </w:r>
            <w:r>
              <w:rPr>
                <w:rFonts w:ascii="Consolas" w:cs="Consolas" w:eastAsia="Consolas" w:hAnsi="Consolas"/>
                <w:sz w:val="17"/>
                <w:szCs w:val="17"/>
                <w:shd w:fill="EEF1F5" w:color="auto" w:val="clear"/>
              </w:rPr>
              <w:t xml:space="preserve">auto_map</w:t>
            </w:r>
            <w:r>
              <w:rPr>
                <w:sz w:val="19"/>
                <w:szCs w:val="19"/>
              </w:rPr>
              <w:t xml:space="preserve">, and its code pins transformers ~4.31, which breaks Qwen2-VL. A base an evaluator cannot load is not a deliverable.</w:t>
            </w:r>
          </w:p>
        </w:tc>
        <w:tc>
          <w:tcPr>
            <w:tcW w:type="dxa" w:w="2436"/>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Rejected (recorded, not worked around)</w:t>
            </w:r>
          </w:p>
        </w:tc>
      </w:tr>
      <w:tr>
        <w:trPr>
          <w:cantSplit/>
        </w:trPr>
        <w:tc>
          <w:tcPr>
            <w:tcW w:type="dxa" w:w="272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rFonts w:ascii="Consolas" w:cs="Consolas" w:eastAsia="Consolas" w:hAnsi="Consolas"/>
                <w:sz w:val="17"/>
                <w:szCs w:val="17"/>
                <w:shd w:fill="EEF1F5" w:color="auto" w:val="clear"/>
              </w:rPr>
              <w:t xml:space="preserve">Qwen/Qwen2-VL-7B-Instruct</w:t>
            </w:r>
            <w:r>
              <w:rPr>
                <w:sz w:val="19"/>
                <w:szCs w:val="19"/>
              </w:rPr>
              <w:t xml:space="preserve"> </w:t>
            </w:r>
            <w:hyperlink w:history="1" w:anchor="bm_ref_32">
              <w:r>
                <w:rPr>
                  <w:color w:val="2A78D6"/>
                  <w:sz w:val="19"/>
                  <w:szCs w:val="19"/>
                </w:rPr>
                <w:t xml:space="preserve">[32]</w:t>
              </w:r>
            </w:hyperlink>
          </w:p>
        </w:tc>
        <w:tc>
          <w:tcPr>
            <w:tcW w:type="dxa" w:w="4581"/>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Loads cleanly; zero-shot VRSBench VQA 0.5270; licence Apache-2.0 (verified) — suitable for handing weights to a government agency.</w:t>
            </w:r>
          </w:p>
        </w:tc>
        <w:tc>
          <w:tcPr>
            <w:tcW w:type="dxa" w:w="2436"/>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b/>
                <w:bCs/>
                <w:sz w:val="19"/>
                <w:szCs w:val="19"/>
              </w:rPr>
              <w:t xml:space="preserve">Selected</w:t>
            </w:r>
          </w:p>
        </w:tc>
      </w:tr>
    </w:tbl>
    <w:p>
      <w:pPr>
        <w:spacing w:after="160"/>
      </w:pPr>
    </w:p>
    <w:p>
      <w:pPr>
        <w:jc w:val="both"/>
      </w:pPr>
      <w:r>
        <w:t xml:space="preserve">A generic base also makes the adaptation </w:t>
      </w:r>
      <w:r>
        <w:rPr>
          <w:b/>
          <w:bCs/>
        </w:rPr>
        <w:t xml:space="preserve">visible</w:t>
      </w:r>
      <w:r>
        <w:t xml:space="preserve">: requirement R1 asks for evidence of adaptation, and a model that starts generic leaves a measurable gain to demonstrate.</w:t>
      </w:r>
    </w:p>
    <w:p>
      <w:pPr>
        <w:pStyle w:val="Heading2"/>
      </w:pPr>
      <w:bookmarkStart w:name="bm_model_lora" w:id="1"/>
      <w:r>
        <w:t xml:space="preserve">4.3   How the adapter was trained (LoRA / QLoRA)</w:t>
      </w:r>
      <w:bookmarkEnd w:id="1"/>
    </w:p>
    <w:p>
      <w:pPr>
        <w:jc w:val="both"/>
      </w:pPr>
      <w:r>
        <w:t xml:space="preserve">LoRA </w:t>
      </w:r>
      <w:hyperlink w:history="1" w:anchor="bm_ref_12">
        <w:r>
          <w:rPr>
            <w:color w:val="2A78D6"/>
          </w:rPr>
          <w:t xml:space="preserve">[12]</w:t>
        </w:r>
      </w:hyperlink>
      <w:r>
        <w:t xml:space="preserve"> freezes the pre-trained model and learns two small low-rank matrices beside selected weight matrices; only those are trained. QLoRA </w:t>
      </w:r>
      <w:hyperlink w:history="1" w:anchor="bm_ref_33">
        <w:r>
          <w:rPr>
            <w:color w:val="2A78D6"/>
          </w:rPr>
          <w:t xml:space="preserve">[33]</w:t>
        </w:r>
      </w:hyperlink>
      <w:r>
        <w:t xml:space="preserve"> additionally stores the frozen model in 4-bit precision so a 7-billion-parameter model fits on a free 16 GB GPU. The result is a 20 MB adapter file that turns the generic model into a remote-sensing one.</w:t>
      </w:r>
    </w:p>
    <w:p>
      <w:pPr>
        <w:keepNext/>
        <w:spacing w:after="0" w:before="120"/>
        <w:jc w:val="center"/>
      </w:pPr>
      <w:r>
        <w:drawing>
          <wp:inline distT="0" distB="0" distL="0" distR="0">
            <wp:extent cx="6181725"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81725" cy="1028700"/>
                    </a:xfrm>
                    <a:prstGeom prst="rect">
                      <a:avLst/>
                    </a:prstGeom>
                  </pic:spPr>
                </pic:pic>
              </a:graphicData>
            </a:graphic>
          </wp:inline>
        </w:drawing>
      </w:r>
    </w:p>
    <w:p>
      <w:pPr>
        <w:keepLines/>
        <w:spacing w:after="220" w:before="60"/>
        <w:jc w:val="center"/>
      </w:pPr>
      <w:r>
        <w:rPr>
          <w:b/>
          <w:bCs/>
          <w:color w:val="0B2545"/>
          <w:sz w:val="17"/>
          <w:szCs w:val="17"/>
        </w:rPr>
        <w:t xml:space="preserve">Figure 11. </w:t>
      </w:r>
      <w:r>
        <w:rPr>
          <w:i/>
          <w:iCs/>
          <w:color w:val="6B7280"/>
          <w:sz w:val="17"/>
          <w:szCs w:val="17"/>
        </w:rPr>
        <w:t xml:space="preserve">The M1 training and evaluation pipeline. The zero-shot baseline and the adapted model are scored by the same script on the same items.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11"/>
        <w:gridCol w:w="6335"/>
      </w:tblGrid>
      <w:tr>
        <w:trPr>
          <w:tblHeader/>
        </w:trPr>
        <w:tc>
          <w:tcPr>
            <w:tcW w:type="dxa" w:w="3411"/>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Setting</w:t>
            </w:r>
          </w:p>
        </w:tc>
        <w:tc>
          <w:tcPr>
            <w:tcW w:type="dxa" w:w="6335"/>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Value</w:t>
            </w:r>
          </w:p>
        </w:tc>
      </w:tr>
      <w:tr>
        <w:trPr>
          <w:cantSplit/>
        </w:trPr>
        <w:tc>
          <w:tcPr>
            <w:tcW w:type="dxa" w:w="3411"/>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Method</w:t>
            </w:r>
          </w:p>
        </w:tc>
        <w:tc>
          <w:tcPr>
            <w:tcW w:type="dxa" w:w="6335"/>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QLoRA — 4-bit NF4 frozen base, fp16 compute (the Kaggle T4 has no bf16)</w:t>
            </w:r>
          </w:p>
        </w:tc>
      </w:tr>
      <w:tr>
        <w:trPr>
          <w:cantSplit/>
        </w:trPr>
        <w:tc>
          <w:tcPr>
            <w:tcW w:type="dxa" w:w="3411"/>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LoRA rank / alpha / dropout</w:t>
            </w:r>
          </w:p>
        </w:tc>
        <w:tc>
          <w:tcPr>
            <w:tcW w:type="dxa" w:w="6335"/>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r = 8, α = 16, dropout = 0.05</w:t>
            </w:r>
          </w:p>
        </w:tc>
      </w:tr>
      <w:tr>
        <w:trPr>
          <w:cantSplit/>
        </w:trPr>
        <w:tc>
          <w:tcPr>
            <w:tcW w:type="dxa" w:w="3411"/>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Target modules</w:t>
            </w:r>
          </w:p>
        </w:tc>
        <w:tc>
          <w:tcPr>
            <w:tcW w:type="dxa" w:w="6335"/>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rFonts w:ascii="Consolas" w:cs="Consolas" w:eastAsia="Consolas" w:hAnsi="Consolas"/>
                <w:sz w:val="17"/>
                <w:szCs w:val="17"/>
                <w:shd w:fill="EEF1F5" w:color="auto" w:val="clear"/>
              </w:rPr>
              <w:t xml:space="preserve">q_proj</w:t>
            </w:r>
            <w:r>
              <w:rPr>
                <w:sz w:val="19"/>
                <w:szCs w:val="19"/>
              </w:rPr>
              <w:t xml:space="preserve">, </w:t>
            </w:r>
            <w:r>
              <w:rPr>
                <w:rFonts w:ascii="Consolas" w:cs="Consolas" w:eastAsia="Consolas" w:hAnsi="Consolas"/>
                <w:sz w:val="17"/>
                <w:szCs w:val="17"/>
                <w:shd w:fill="EEF1F5" w:color="auto" w:val="clear"/>
              </w:rPr>
              <w:t xml:space="preserve">k_proj</w:t>
            </w:r>
            <w:r>
              <w:rPr>
                <w:sz w:val="19"/>
                <w:szCs w:val="19"/>
              </w:rPr>
              <w:t xml:space="preserve">, </w:t>
            </w:r>
            <w:r>
              <w:rPr>
                <w:rFonts w:ascii="Consolas" w:cs="Consolas" w:eastAsia="Consolas" w:hAnsi="Consolas"/>
                <w:sz w:val="17"/>
                <w:szCs w:val="17"/>
                <w:shd w:fill="EEF1F5" w:color="auto" w:val="clear"/>
              </w:rPr>
              <w:t xml:space="preserve">v_proj</w:t>
            </w:r>
            <w:r>
              <w:rPr>
                <w:sz w:val="19"/>
                <w:szCs w:val="19"/>
              </w:rPr>
              <w:t xml:space="preserve">, </w:t>
            </w:r>
            <w:r>
              <w:rPr>
                <w:rFonts w:ascii="Consolas" w:cs="Consolas" w:eastAsia="Consolas" w:hAnsi="Consolas"/>
                <w:sz w:val="17"/>
                <w:szCs w:val="17"/>
                <w:shd w:fill="EEF1F5" w:color="auto" w:val="clear"/>
              </w:rPr>
              <w:t xml:space="preserve">o_proj</w:t>
            </w:r>
            <w:r>
              <w:rPr>
                <w:sz w:val="19"/>
                <w:szCs w:val="19"/>
              </w:rPr>
              <w:t xml:space="preserve"> (attention projections)</w:t>
            </w:r>
          </w:p>
        </w:tc>
      </w:tr>
      <w:tr>
        <w:trPr>
          <w:cantSplit/>
        </w:trPr>
        <w:tc>
          <w:tcPr>
            <w:tcW w:type="dxa" w:w="3411"/>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Trainable parameters</w:t>
            </w:r>
          </w:p>
        </w:tc>
        <w:tc>
          <w:tcPr>
            <w:tcW w:type="dxa" w:w="6335"/>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5,046,272 of 4,696,922,624 packed — </w:t>
            </w:r>
            <w:r>
              <w:rPr>
                <w:b/>
                <w:bCs/>
                <w:sz w:val="19"/>
                <w:szCs w:val="19"/>
              </w:rPr>
              <w:t xml:space="preserve">0.107 %</w:t>
            </w:r>
          </w:p>
        </w:tc>
      </w:tr>
      <w:tr>
        <w:trPr>
          <w:cantSplit/>
        </w:trPr>
        <w:tc>
          <w:tcPr>
            <w:tcW w:type="dxa" w:w="3411"/>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Optimiser</w:t>
            </w:r>
          </w:p>
        </w:tc>
        <w:tc>
          <w:tcPr>
            <w:tcW w:type="dxa" w:w="6335"/>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learning rate 2e-4, cosine schedule, 3 % warm-up, effective batch 32 (1 × 32 accumulation)</w:t>
            </w:r>
          </w:p>
        </w:tc>
      </w:tr>
      <w:tr>
        <w:trPr>
          <w:cantSplit/>
        </w:trPr>
        <w:tc>
          <w:tcPr>
            <w:tcW w:type="dxa" w:w="3411"/>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Samples / epochs / steps</w:t>
            </w:r>
          </w:p>
        </w:tc>
        <w:tc>
          <w:tcPr>
            <w:tcW w:type="dxa" w:w="6335"/>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12,000 / 1 / 375 optimiser steps (shipped rung 2)</w:t>
            </w:r>
          </w:p>
        </w:tc>
      </w:tr>
      <w:tr>
        <w:trPr>
          <w:cantSplit/>
        </w:trPr>
        <w:tc>
          <w:tcPr>
            <w:tcW w:type="dxa" w:w="3411"/>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Hardware and time</w:t>
            </w:r>
          </w:p>
        </w:tc>
        <w:tc>
          <w:tcPr>
            <w:tcW w:type="dxa" w:w="6335"/>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Kaggle T4 (free tier), </w:t>
            </w:r>
            <w:r>
              <w:rPr>
                <w:rFonts w:ascii="Consolas" w:cs="Consolas" w:eastAsia="Consolas" w:hAnsi="Consolas"/>
                <w:sz w:val="17"/>
                <w:szCs w:val="17"/>
                <w:shd w:fill="EEF1F5" w:color="auto" w:val="clear"/>
              </w:rPr>
              <w:t xml:space="preserve">2.2 s per sample, </w:t>
            </w:r>
            <w:r>
              <w:rPr>
                <w:sz w:val="19"/>
                <w:szCs w:val="19"/>
              </w:rPr>
              <w:t xml:space="preserve">7.4 h wall time; interrupted and resumed from checkpoint with optimiser, scheduler and RNG state restored</w:t>
            </w:r>
          </w:p>
        </w:tc>
      </w:tr>
      <w:tr>
        <w:trPr>
          <w:cantSplit/>
        </w:trPr>
        <w:tc>
          <w:tcPr>
            <w:tcW w:type="dxa" w:w="3411"/>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Artefact</w:t>
            </w:r>
          </w:p>
        </w:tc>
        <w:tc>
          <w:tcPr>
            <w:tcW w:type="dxa" w:w="6335"/>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rFonts w:ascii="Consolas" w:cs="Consolas" w:eastAsia="Consolas" w:hAnsi="Consolas"/>
                <w:sz w:val="17"/>
                <w:szCs w:val="17"/>
                <w:shd w:fill="EEF1F5" w:color="auto" w:val="clear"/>
              </w:rPr>
              <w:t xml:space="preserve">models/adapters/m1-rs-vqa/</w:t>
            </w:r>
            <w:r>
              <w:rPr>
                <w:sz w:val="19"/>
                <w:szCs w:val="19"/>
              </w:rPr>
              <w:t xml:space="preserve"> — PEFT adapter + </w:t>
            </w:r>
            <w:r>
              <w:rPr>
                <w:rFonts w:ascii="Consolas" w:cs="Consolas" w:eastAsia="Consolas" w:hAnsi="Consolas"/>
                <w:sz w:val="17"/>
                <w:szCs w:val="17"/>
                <w:shd w:fill="EEF1F5" w:color="auto" w:val="clear"/>
              </w:rPr>
              <w:t xml:space="preserve">pack.json</w:t>
            </w:r>
            <w:r>
              <w:rPr>
                <w:sz w:val="19"/>
                <w:szCs w:val="19"/>
              </w:rPr>
              <w:t xml:space="preserve"> manifest; SHA-256 prefix </w:t>
            </w:r>
            <w:r>
              <w:rPr>
                <w:rFonts w:ascii="Consolas" w:cs="Consolas" w:eastAsia="Consolas" w:hAnsi="Consolas"/>
                <w:sz w:val="17"/>
                <w:szCs w:val="17"/>
                <w:shd w:fill="EEF1F5" w:color="auto" w:val="clear"/>
              </w:rPr>
              <w:t xml:space="preserve">2ea5192277839e63</w:t>
            </w:r>
            <w:r>
              <w:rPr>
                <w:sz w:val="19"/>
                <w:szCs w:val="19"/>
              </w:rPr>
              <w:t xml:space="preserve"> matches checkpoint-375</w:t>
            </w:r>
          </w:p>
        </w:tc>
      </w:tr>
    </w:tbl>
    <w:p>
      <w:pPr>
        <w:spacing w:after="160"/>
      </w:pPr>
    </w:p>
    <w:p>
      <w:pPr>
        <w:pStyle w:val="Heading2"/>
      </w:pPr>
      <w:bookmarkStart w:name="bm_model_result" w:id="1"/>
      <w:r>
        <w:t xml:space="preserve">4.4   The data ladder and the result</w:t>
      </w:r>
      <w:bookmarkEnd w:id="1"/>
    </w:p>
    <w:p>
      <w:pPr>
        <w:jc w:val="both"/>
      </w:pPr>
      <w:r>
        <w:t xml:space="preserve">Rather than training on everything at once, the adapter was trained in </w:t>
      </w:r>
      <w:r>
        <w:rPr>
          <w:b/>
          <w:bCs/>
        </w:rPr>
        <w:t xml:space="preserve">rungs</w:t>
      </w:r>
      <w:r>
        <w:t xml:space="preserve">, measuring after each. The first 4,000 samples bought ten points; the next 8,000 bought three. The curve is still rising but flattening; a third rung would cost ~7 more GPU-hours for an expected point or two, so the climb stopped by decision, not by hitting a ceiling.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9"/>
        <w:gridCol w:w="1949"/>
        <w:gridCol w:w="3703"/>
        <w:gridCol w:w="2535"/>
      </w:tblGrid>
      <w:tr>
        <w:trPr>
          <w:tblHeader/>
        </w:trPr>
        <w:tc>
          <w:tcPr>
            <w:tcW w:type="dxa" w:w="1559"/>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Rung</w:t>
            </w:r>
          </w:p>
        </w:tc>
        <w:tc>
          <w:tcPr>
            <w:tcW w:type="dxa" w:w="1949"/>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Training samples</w:t>
            </w:r>
          </w:p>
        </w:tc>
        <w:tc>
          <w:tcPr>
            <w:tcW w:type="dxa" w:w="3703"/>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VRSBench VQA accuracy (exact match)</w:t>
            </w:r>
          </w:p>
        </w:tc>
        <w:tc>
          <w:tcPr>
            <w:tcW w:type="dxa" w:w="2535"/>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Gain over zero-shot</w:t>
            </w:r>
          </w:p>
        </w:tc>
      </w:tr>
      <w:tr>
        <w:trPr>
          <w:cantSplit/>
        </w:trPr>
        <w:tc>
          <w:tcPr>
            <w:tcW w:type="dxa" w:w="155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zero-shot</w:t>
            </w:r>
          </w:p>
        </w:tc>
        <w:tc>
          <w:tcPr>
            <w:tcW w:type="dxa" w:w="194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0</w:t>
            </w:r>
          </w:p>
        </w:tc>
        <w:tc>
          <w:tcPr>
            <w:tcW w:type="dxa" w:w="3703"/>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0.5270</w:t>
            </w:r>
          </w:p>
        </w:tc>
        <w:tc>
          <w:tcPr>
            <w:tcW w:type="dxa" w:w="2535"/>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w:t>
            </w:r>
          </w:p>
        </w:tc>
      </w:tr>
      <w:tr>
        <w:trPr>
          <w:cantSplit/>
        </w:trPr>
        <w:tc>
          <w:tcPr>
            <w:tcW w:type="dxa" w:w="155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rung 1</w:t>
            </w:r>
          </w:p>
        </w:tc>
        <w:tc>
          <w:tcPr>
            <w:tcW w:type="dxa" w:w="194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4,000</w:t>
            </w:r>
          </w:p>
        </w:tc>
        <w:tc>
          <w:tcPr>
            <w:tcW w:type="dxa" w:w="3703"/>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0.6305</w:t>
            </w:r>
          </w:p>
        </w:tc>
        <w:tc>
          <w:tcPr>
            <w:tcW w:type="dxa" w:w="2535"/>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+10.35 points</w:t>
            </w:r>
          </w:p>
        </w:tc>
      </w:tr>
      <w:tr>
        <w:trPr>
          <w:cantSplit/>
        </w:trPr>
        <w:tc>
          <w:tcPr>
            <w:tcW w:type="dxa" w:w="155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b/>
                <w:bCs/>
                <w:sz w:val="19"/>
                <w:szCs w:val="19"/>
              </w:rPr>
              <w:t xml:space="preserve">rung 2 (shipped)</w:t>
            </w:r>
          </w:p>
        </w:tc>
        <w:tc>
          <w:tcPr>
            <w:tcW w:type="dxa" w:w="194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b/>
                <w:bCs/>
                <w:sz w:val="19"/>
                <w:szCs w:val="19"/>
              </w:rPr>
              <w:t xml:space="preserve">12,000</w:t>
            </w:r>
          </w:p>
        </w:tc>
        <w:tc>
          <w:tcPr>
            <w:tcW w:type="dxa" w:w="3703"/>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b/>
                <w:bCs/>
                <w:sz w:val="19"/>
                <w:szCs w:val="19"/>
              </w:rPr>
              <w:t xml:space="preserve">0.6600</w:t>
            </w:r>
          </w:p>
        </w:tc>
        <w:tc>
          <w:tcPr>
            <w:tcW w:type="dxa" w:w="2535"/>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b/>
                <w:bCs/>
                <w:sz w:val="19"/>
                <w:szCs w:val="19"/>
              </w:rPr>
              <w:t xml:space="preserve">+13.30 points</w:t>
            </w:r>
          </w:p>
        </w:tc>
      </w:tr>
    </w:tbl>
    <w:p>
      <w:pPr>
        <w:spacing w:after="160"/>
      </w:pPr>
    </w:p>
    <w:p>
      <w:pPr>
        <w:keepNext/>
        <w:spacing w:after="0" w:before="120"/>
        <w:jc w:val="center"/>
      </w:pPr>
      <w:r>
        <w:drawing>
          <wp:inline distT="0" distB="0" distL="0" distR="0">
            <wp:extent cx="618172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81725" cy="2533650"/>
                    </a:xfrm>
                    <a:prstGeom prst="rect">
                      <a:avLst/>
                    </a:prstGeom>
                  </pic:spPr>
                </pic:pic>
              </a:graphicData>
            </a:graphic>
          </wp:inline>
        </w:drawing>
      </w:r>
    </w:p>
    <w:p>
      <w:pPr>
        <w:keepLines/>
        <w:spacing w:after="220" w:before="60"/>
        <w:jc w:val="center"/>
      </w:pPr>
      <w:r>
        <w:rPr>
          <w:b/>
          <w:bCs/>
          <w:color w:val="0B2545"/>
          <w:sz w:val="17"/>
          <w:szCs w:val="17"/>
        </w:rPr>
        <w:t xml:space="preserve">Figure 12. </w:t>
      </w:r>
      <w:r>
        <w:rPr>
          <w:i/>
          <w:iCs/>
          <w:color w:val="6B7280"/>
          <w:sz w:val="17"/>
          <w:szCs w:val="17"/>
        </w:rPr>
        <w:t xml:space="preserve">VRSBench VQA accuracy: our measurements (blue) beside published anchors (grey). Our figures are on a 2,000-item subset of the validation split; published figures are on the full test set.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none" w:color="FFFFFF" w:sz="0"/>
              <w:left w:val="single" w:color="B42318" w:sz="30"/>
              <w:bottom w:val="none" w:color="FFFFFF" w:sz="0"/>
              <w:right w:val="none" w:color="FFFFFF" w:sz="0"/>
            </w:tcBorders>
            <w:shd w:fill="FDF1F0" w:color="auto" w:val="clear"/>
            <w:tcMar>
              <w:top w:type="dxa" w:w="120"/>
              <w:left w:type="dxa" w:w="180"/>
              <w:bottom w:type="dxa" w:w="120"/>
              <w:right w:type="dxa" w:w="180"/>
            </w:tcMar>
          </w:tcPr>
          <w:p>
            <w:pPr>
              <w:spacing w:after="60"/>
            </w:pPr>
            <w:r>
              <w:rPr>
                <w:rFonts w:ascii="Segoe UI" w:cs="Segoe UI" w:eastAsia="Segoe UI" w:hAnsi="Segoe UI"/>
                <w:b/>
                <w:bCs/>
                <w:color w:val="0B2545"/>
                <w:spacing w:val="20"/>
                <w:sz w:val="17"/>
                <w:szCs w:val="17"/>
              </w:rPr>
              <w:t xml:space="preserve">STATED CAREFULLY</w:t>
            </w:r>
          </w:p>
          <w:p>
            <w:pPr>
              <w:spacing w:after="0"/>
            </w:pPr>
            <w:r>
              <w:t xml:space="preserve">This is </w:t>
            </w:r>
            <w:r>
              <w:rPr>
                <w:b/>
                <w:bCs/>
              </w:rPr>
              <w:t xml:space="preserve">not an apples-to-apples comparison</w:t>
            </w:r>
            <w:r>
              <w:t xml:space="preserve">. At n = 2,000 the 95 % interval on 0.6600 is roughly 0.639–0.681, which contains GPT-4V's 0.6560. The defensible claim is </w:t>
            </w:r>
            <w:r>
              <w:rPr>
                <w:b/>
                <w:bCs/>
              </w:rPr>
              <w:t xml:space="preserve">“above the published GeoChat fine-tuned result and level with GPT-4V, on our subset”</w:t>
            </w:r>
            <w:r>
              <w:t xml:space="preserve"> — not “beats GPT-4V”.</w:t>
            </w:r>
          </w:p>
        </w:tc>
      </w:tr>
    </w:tbl>
    <w:p>
      <w:pPr>
        <w:spacing w:after="160"/>
      </w:pPr>
    </w:p>
    <w:p>
      <w:pPr>
        <w:pStyle w:val="Heading2"/>
      </w:pPr>
      <w:bookmarkStart w:name="bm_model_sig" w:id="1"/>
      <w:r>
        <w:t xml:space="preserve">4.5   Is the gain real? Significance and split integrity</w:t>
      </w:r>
      <w:bookmarkEnd w:id="1"/>
    </w:p>
    <w:p>
      <w:pPr>
        <w:jc w:val="both"/>
      </w:pPr>
      <w:r>
        <w:t xml:space="preserve">Because the zero-shot and adapted runs answered </w:t>
      </w:r>
      <w:r>
        <w:rPr>
          <w:b/>
          <w:bCs/>
        </w:rPr>
        <w:t xml:space="preserve">the same 2,000 question IDs</w:t>
      </w:r>
      <w:r>
        <w:t xml:space="preserve">, the gain can be tested item by item with McNemar's paired test </w:t>
      </w:r>
      <w:hyperlink w:history="1" w:anchor="bm_ref_36">
        <w:r>
          <w:rPr>
            <w:color w:val="2A78D6"/>
          </w:rPr>
          <w:t xml:space="preserve">[36]</w:t>
        </w:r>
      </w:hyperlink>
      <w:r>
        <w:t xml:space="preserve"> rather than as a difference of two percentages: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22"/>
        <w:gridCol w:w="2924"/>
      </w:tblGrid>
      <w:tr>
        <w:trPr>
          <w:tblHeader/>
        </w:trPr>
        <w:tc>
          <w:tcPr>
            <w:tcW w:type="dxa" w:w="6822"/>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Outcome per item</w:t>
            </w:r>
          </w:p>
        </w:tc>
        <w:tc>
          <w:tcPr>
            <w:tcW w:type="dxa" w:w="2924"/>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Count</w:t>
            </w:r>
          </w:p>
        </w:tc>
      </w:tr>
      <w:tr>
        <w:trPr>
          <w:cantSplit/>
        </w:trPr>
        <w:tc>
          <w:tcPr>
            <w:tcW w:type="dxa" w:w="6822"/>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Zero-shot wrong → adapted right (fixed)</w:t>
            </w:r>
          </w:p>
        </w:tc>
        <w:tc>
          <w:tcPr>
            <w:tcW w:type="dxa" w:w="292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b/>
                <w:bCs/>
                <w:sz w:val="19"/>
                <w:szCs w:val="19"/>
              </w:rPr>
              <w:t xml:space="preserve">359</w:t>
            </w:r>
          </w:p>
        </w:tc>
      </w:tr>
      <w:tr>
        <w:trPr>
          <w:cantSplit/>
        </w:trPr>
        <w:tc>
          <w:tcPr>
            <w:tcW w:type="dxa" w:w="6822"/>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Zero-shot right → adapted wrong (broken)</w:t>
            </w:r>
          </w:p>
        </w:tc>
        <w:tc>
          <w:tcPr>
            <w:tcW w:type="dxa" w:w="292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93</w:t>
            </w:r>
          </w:p>
        </w:tc>
      </w:tr>
      <w:tr>
        <w:trPr>
          <w:cantSplit/>
        </w:trPr>
        <w:tc>
          <w:tcPr>
            <w:tcW w:type="dxa" w:w="6822"/>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Right in both</w:t>
            </w:r>
          </w:p>
        </w:tc>
        <w:tc>
          <w:tcPr>
            <w:tcW w:type="dxa" w:w="292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961</w:t>
            </w:r>
          </w:p>
        </w:tc>
      </w:tr>
      <w:tr>
        <w:trPr>
          <w:cantSplit/>
        </w:trPr>
        <w:tc>
          <w:tcPr>
            <w:tcW w:type="dxa" w:w="6822"/>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Net improvement</w:t>
            </w:r>
          </w:p>
        </w:tc>
        <w:tc>
          <w:tcPr>
            <w:tcW w:type="dxa" w:w="292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+266 items = +13.30 points</w:t>
            </w:r>
          </w:p>
        </w:tc>
      </w:tr>
      <w:tr>
        <w:trPr>
          <w:cantSplit/>
        </w:trPr>
        <w:tc>
          <w:tcPr>
            <w:tcW w:type="dxa" w:w="6822"/>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McNemar χ² / p-value</w:t>
            </w:r>
          </w:p>
        </w:tc>
        <w:tc>
          <w:tcPr>
            <w:tcW w:type="dxa" w:w="292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155.4 / </w:t>
            </w:r>
            <w:r>
              <w:rPr>
                <w:b/>
                <w:bCs/>
                <w:sz w:val="19"/>
                <w:szCs w:val="19"/>
              </w:rPr>
              <w:t xml:space="preserve">1.2 × 10⁻³⁵</w:t>
            </w:r>
          </w:p>
        </w:tc>
      </w:tr>
    </w:tbl>
    <w:p>
      <w:pPr>
        <w:spacing w:after="160"/>
      </w:pPr>
    </w:p>
    <w:p>
      <w:pPr>
        <w:jc w:val="both"/>
      </w:pPr>
      <w:r>
        <w:t xml:space="preserve">The adapter breaks some answers and fixes nearly four times as many; reporting both is what makes the net credible. </w:t>
      </w:r>
      <w:r>
        <w:rPr>
          <w:b/>
          <w:bCs/>
        </w:rPr>
        <w:t xml:space="preserve">Leakage was counted, not assumed:</w:t>
      </w:r>
      <w:r>
        <w:t xml:space="preserve"> training reads VRSBench's </w:t>
      </w:r>
      <w:r>
        <w:rPr>
          <w:rFonts w:ascii="Consolas" w:cs="Consolas" w:eastAsia="Consolas" w:hAnsi="Consolas"/>
          <w:sz w:val="19"/>
          <w:szCs w:val="19"/>
          <w:shd w:fill="EEF1F5" w:color="auto" w:val="clear"/>
        </w:rPr>
        <w:t xml:space="preserve">Annotations_train</w:t>
      </w:r>
      <w:r>
        <w:t xml:space="preserve"> (20,264 images) and evaluation reads </w:t>
      </w:r>
      <w:r>
        <w:rPr>
          <w:rFonts w:ascii="Consolas" w:cs="Consolas" w:eastAsia="Consolas" w:hAnsi="Consolas"/>
          <w:sz w:val="19"/>
          <w:szCs w:val="19"/>
          <w:shd w:fill="EEF1F5" w:color="auto" w:val="clear"/>
        </w:rPr>
        <w:t xml:space="preserve">Annotations_val</w:t>
      </w:r>
      <w:r>
        <w:t xml:space="preserve"> (9,350 images); the overlap is </w:t>
      </w:r>
      <w:r>
        <w:rPr>
          <w:b/>
          <w:bCs/>
        </w:rPr>
        <w:t xml:space="preserve">zero</w:t>
      </w:r>
      <w:r>
        <w:t xml:space="preserve">. Every figure is recomputable from prediction rows stored in </w:t>
      </w:r>
      <w:r>
        <w:rPr>
          <w:rFonts w:ascii="Consolas" w:cs="Consolas" w:eastAsia="Consolas" w:hAnsi="Consolas"/>
          <w:sz w:val="19"/>
          <w:szCs w:val="19"/>
          <w:shd w:fill="EEF1F5" w:color="auto" w:val="clear"/>
        </w:rPr>
        <w:t xml:space="preserve">models/results/</w:t>
      </w:r>
      <w:r>
        <w:t xml:space="preserve">.</w:t>
      </w:r>
    </w:p>
    <w:p>
      <w:pPr>
        <w:pStyle w:val="Heading2"/>
      </w:pPr>
      <w:bookmarkStart w:name="bm_model_cats" w:id="1"/>
      <w:r>
        <w:t xml:space="preserve">4.6   Where the gain came from</w:t>
      </w:r>
      <w:bookmarkEnd w:id="1"/>
    </w:p>
    <w:p>
      <w:pPr>
        <w:keepNext/>
        <w:spacing w:after="0" w:before="120"/>
        <w:jc w:val="center"/>
      </w:pPr>
      <w:r>
        <w:drawing>
          <wp:inline distT="0" distB="0" distL="0" distR="0">
            <wp:extent cx="6181725"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81725" cy="4114800"/>
                    </a:xfrm>
                    <a:prstGeom prst="rect">
                      <a:avLst/>
                    </a:prstGeom>
                  </pic:spPr>
                </pic:pic>
              </a:graphicData>
            </a:graphic>
          </wp:inline>
        </w:drawing>
      </w:r>
    </w:p>
    <w:p>
      <w:pPr>
        <w:keepLines/>
        <w:spacing w:after="220" w:before="60"/>
        <w:jc w:val="center"/>
      </w:pPr>
      <w:r>
        <w:rPr>
          <w:b/>
          <w:bCs/>
          <w:color w:val="0B2545"/>
          <w:sz w:val="17"/>
          <w:szCs w:val="17"/>
        </w:rPr>
        <w:t xml:space="preserve">Figure 13. </w:t>
      </w:r>
      <w:r>
        <w:rPr>
          <w:i/>
          <w:iCs/>
          <w:color w:val="6B7280"/>
          <w:sz w:val="17"/>
          <w:szCs w:val="17"/>
        </w:rPr>
        <w:t xml:space="preserve">Per-category VQA accuracy, zero-shot versus the shipped adapter (rung 2). Categories sorted by number of evaluation items.</w:t>
      </w:r>
    </w:p>
    <w:p>
      <w:pPr>
        <w:jc w:val="both"/>
      </w:pPr>
      <w:r>
        <w:t xml:space="preserve">The gain landed where the pre-training error analysis predicted. Before adaptation, the dominant failure was </w:t>
      </w:r>
      <w:r>
        <w:rPr>
          <w:b/>
          <w:bCs/>
        </w:rPr>
        <w:t xml:space="preserve">vocabulary rather than perception</w:t>
      </w:r>
      <w:r>
        <w:t xml:space="preserve">: </w:t>
      </w:r>
      <w:r>
        <w:rPr>
          <w:rFonts w:ascii="Consolas" w:cs="Consolas" w:eastAsia="Consolas" w:hAnsi="Consolas"/>
          <w:sz w:val="19"/>
          <w:szCs w:val="19"/>
          <w:shd w:fill="EEF1F5" w:color="auto" w:val="clear"/>
        </w:rPr>
        <w:t xml:space="preserve">ground-track-field</w:t>
      </w:r>
      <w:r>
        <w:t xml:space="preserve"> answered as </w:t>
      </w:r>
      <w:r>
        <w:rPr>
          <w:i/>
          <w:iCs/>
        </w:rPr>
        <w:t xml:space="preserve">Stadium</w:t>
      </w:r>
      <w:r>
        <w:t xml:space="preserve">, </w:t>
      </w:r>
      <w:r>
        <w:rPr>
          <w:rFonts w:ascii="Consolas" w:cs="Consolas" w:eastAsia="Consolas" w:hAnsi="Consolas"/>
          <w:sz w:val="19"/>
          <w:szCs w:val="19"/>
          <w:shd w:fill="EEF1F5" w:color="auto" w:val="clear"/>
        </w:rPr>
        <w:t xml:space="preserve">small-vehicle</w:t>
      </w:r>
      <w:r>
        <w:t xml:space="preserve"> as </w:t>
      </w:r>
      <w:r>
        <w:rPr>
          <w:i/>
          <w:iCs/>
        </w:rPr>
        <w:t xml:space="preserve">Car</w:t>
      </w:r>
      <w:r>
        <w:t xml:space="preserve">, </w:t>
      </w:r>
      <w:r>
        <w:rPr>
          <w:i/>
          <w:iCs/>
        </w:rPr>
        <w:t xml:space="preserve">rectangular</w:t>
      </w:r>
      <w:r>
        <w:t xml:space="preserve"> as </w:t>
      </w:r>
      <w:r>
        <w:rPr>
          <w:i/>
          <w:iCs/>
        </w:rPr>
        <w:t xml:space="preserve">Square</w:t>
      </w:r>
      <w:r>
        <w:t xml:space="preserve">, image-relative </w:t>
      </w:r>
      <w:r>
        <w:rPr>
          <w:i/>
          <w:iCs/>
        </w:rPr>
        <w:t xml:space="preserve">Top</w:t>
      </w:r>
      <w:r>
        <w:t xml:space="preserve"> answered as </w:t>
      </w:r>
      <w:r>
        <w:rPr>
          <w:i/>
          <w:iCs/>
        </w:rPr>
        <w:t xml:space="preserve">North</w:t>
      </w:r>
      <w:r>
        <w:t xml:space="preserve">. The three weakest categories — shape (+34 points), position (+22) and category (+20) — are the three that moved most. Two small categories (reasoning, n = 44; object size, n = 62) moved within their ±13-point noise band; every category with more than 180 items improved.</w:t>
      </w:r>
    </w:p>
    <w:p>
      <w:pPr>
        <w:pStyle w:val="Heading2"/>
      </w:pPr>
      <w:bookmarkStart w:name="bm_model_calib" w:id="1"/>
      <w:r>
        <w:t xml:space="preserve">4.7   Calibration and the confidence gate</w:t>
      </w:r>
      <w:bookmarkEnd w:id="1"/>
    </w:p>
    <w:p>
      <w:pPr>
        <w:jc w:val="both"/>
      </w:pPr>
      <w:r>
        <w:t xml:space="preserve">A confidence value is only useful if it means something. On 300 questions asked directly of M1, accuracy rises with confidence in every band:</w:t>
      </w:r>
    </w:p>
    <w:p>
      <w:pPr>
        <w:keepNext/>
        <w:spacing w:after="0" w:before="120"/>
        <w:jc w:val="center"/>
      </w:pPr>
      <w:r>
        <w:drawing>
          <wp:inline distT="0" distB="0" distL="0" distR="0">
            <wp:extent cx="6181725"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81725" cy="2686050"/>
                    </a:xfrm>
                    <a:prstGeom prst="rect">
                      <a:avLst/>
                    </a:prstGeom>
                  </pic:spPr>
                </pic:pic>
              </a:graphicData>
            </a:graphic>
          </wp:inline>
        </w:drawing>
      </w:r>
    </w:p>
    <w:p>
      <w:pPr>
        <w:keepLines/>
        <w:spacing w:after="220" w:before="60"/>
        <w:jc w:val="center"/>
      </w:pPr>
      <w:r>
        <w:rPr>
          <w:b/>
          <w:bCs/>
          <w:color w:val="0B2545"/>
          <w:sz w:val="17"/>
          <w:szCs w:val="17"/>
        </w:rPr>
        <w:t xml:space="preserve">Figure 14. </w:t>
      </w:r>
      <w:r>
        <w:rPr>
          <w:i/>
          <w:iCs/>
          <w:color w:val="6B7280"/>
          <w:sz w:val="17"/>
          <w:szCs w:val="17"/>
        </w:rPr>
        <w:t xml:space="preserve">M1 accuracy by confidence band (n = 300). Above 0.6 the stated confidence closely tracks accuracy; below 0.6 it overstates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70"/>
        <w:gridCol w:w="1949"/>
        <w:gridCol w:w="1949"/>
        <w:gridCol w:w="2534"/>
        <w:gridCol w:w="2144"/>
      </w:tblGrid>
      <w:tr>
        <w:trPr>
          <w:tblHeader/>
        </w:trPr>
        <w:tc>
          <w:tcPr>
            <w:tcW w:type="dxa" w:w="1170"/>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Gate</w:t>
            </w:r>
          </w:p>
        </w:tc>
        <w:tc>
          <w:tcPr>
            <w:tcW w:type="dxa" w:w="1949"/>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Answers withheld</w:t>
            </w:r>
          </w:p>
        </w:tc>
        <w:tc>
          <w:tcPr>
            <w:tcW w:type="dxa" w:w="1949"/>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Of which wrong</w:t>
            </w:r>
          </w:p>
        </w:tc>
        <w:tc>
          <w:tcPr>
            <w:tcW w:type="dxa" w:w="2534"/>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Abstention precision</w:t>
            </w:r>
          </w:p>
        </w:tc>
        <w:tc>
          <w:tcPr>
            <w:tcW w:type="dxa" w:w="2144"/>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Right answers lost</w:t>
            </w:r>
          </w:p>
        </w:tc>
      </w:tr>
      <w:tr>
        <w:trPr>
          <w:cantSplit/>
        </w:trPr>
        <w:tc>
          <w:tcPr>
            <w:tcW w:type="dxa" w:w="1170"/>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0.40</w:t>
            </w:r>
          </w:p>
        </w:tc>
        <w:tc>
          <w:tcPr>
            <w:tcW w:type="dxa" w:w="194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12</w:t>
            </w:r>
          </w:p>
        </w:tc>
        <w:tc>
          <w:tcPr>
            <w:tcW w:type="dxa" w:w="194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11</w:t>
            </w:r>
          </w:p>
        </w:tc>
        <w:tc>
          <w:tcPr>
            <w:tcW w:type="dxa" w:w="253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91.7 %</w:t>
            </w:r>
          </w:p>
        </w:tc>
        <w:tc>
          <w:tcPr>
            <w:tcW w:type="dxa" w:w="214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1</w:t>
            </w:r>
          </w:p>
        </w:tc>
      </w:tr>
      <w:tr>
        <w:trPr>
          <w:cantSplit/>
        </w:trPr>
        <w:tc>
          <w:tcPr>
            <w:tcW w:type="dxa" w:w="1170"/>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b/>
                <w:bCs/>
                <w:sz w:val="19"/>
                <w:szCs w:val="19"/>
              </w:rPr>
              <w:t xml:space="preserve">0.45 (chosen)</w:t>
            </w:r>
          </w:p>
        </w:tc>
        <w:tc>
          <w:tcPr>
            <w:tcW w:type="dxa" w:w="194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b/>
                <w:bCs/>
                <w:sz w:val="19"/>
                <w:szCs w:val="19"/>
              </w:rPr>
              <w:t xml:space="preserve">23</w:t>
            </w:r>
          </w:p>
        </w:tc>
        <w:tc>
          <w:tcPr>
            <w:tcW w:type="dxa" w:w="194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b/>
                <w:bCs/>
                <w:sz w:val="19"/>
                <w:szCs w:val="19"/>
              </w:rPr>
              <w:t xml:space="preserve">19</w:t>
            </w:r>
          </w:p>
        </w:tc>
        <w:tc>
          <w:tcPr>
            <w:tcW w:type="dxa" w:w="253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b/>
                <w:bCs/>
                <w:sz w:val="19"/>
                <w:szCs w:val="19"/>
              </w:rPr>
              <w:t xml:space="preserve">82.6 %</w:t>
            </w:r>
          </w:p>
        </w:tc>
        <w:tc>
          <w:tcPr>
            <w:tcW w:type="dxa" w:w="214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b/>
                <w:bCs/>
                <w:sz w:val="19"/>
                <w:szCs w:val="19"/>
              </w:rPr>
              <w:t xml:space="preserve">4</w:t>
            </w:r>
          </w:p>
        </w:tc>
      </w:tr>
      <w:tr>
        <w:trPr>
          <w:cantSplit/>
        </w:trPr>
        <w:tc>
          <w:tcPr>
            <w:tcW w:type="dxa" w:w="1170"/>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0.50</w:t>
            </w:r>
          </w:p>
        </w:tc>
        <w:tc>
          <w:tcPr>
            <w:tcW w:type="dxa" w:w="194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38</w:t>
            </w:r>
          </w:p>
        </w:tc>
        <w:tc>
          <w:tcPr>
            <w:tcW w:type="dxa" w:w="194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29</w:t>
            </w:r>
          </w:p>
        </w:tc>
        <w:tc>
          <w:tcPr>
            <w:tcW w:type="dxa" w:w="253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76.3 %</w:t>
            </w:r>
          </w:p>
        </w:tc>
        <w:tc>
          <w:tcPr>
            <w:tcW w:type="dxa" w:w="214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9</w:t>
            </w:r>
          </w:p>
        </w:tc>
      </w:tr>
      <w:tr>
        <w:trPr>
          <w:cantSplit/>
        </w:trPr>
        <w:tc>
          <w:tcPr>
            <w:tcW w:type="dxa" w:w="1170"/>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0.60</w:t>
            </w:r>
          </w:p>
        </w:tc>
        <w:tc>
          <w:tcPr>
            <w:tcW w:type="dxa" w:w="194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74</w:t>
            </w:r>
          </w:p>
        </w:tc>
        <w:tc>
          <w:tcPr>
            <w:tcW w:type="dxa" w:w="194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52</w:t>
            </w:r>
          </w:p>
        </w:tc>
        <w:tc>
          <w:tcPr>
            <w:tcW w:type="dxa" w:w="253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70.3 %</w:t>
            </w:r>
          </w:p>
        </w:tc>
        <w:tc>
          <w:tcPr>
            <w:tcW w:type="dxa" w:w="214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22</w:t>
            </w:r>
          </w:p>
        </w:tc>
      </w:tr>
    </w:tbl>
    <w:p>
      <w:pPr>
        <w:spacing w:after="160"/>
      </w:pPr>
    </w:p>
    <w:p>
      <w:pPr>
        <w:jc w:val="both"/>
      </w:pPr>
      <w:r>
        <w:t xml:space="preserve">At 0.45 the system withholds 7.7 % of M1's answers, 83 % of which would have been wrong, raising answered accuracy from 0.673 to 0.715 at a cost of 4 correct answers in 300. The serving class (</w:t>
      </w:r>
      <w:r>
        <w:rPr>
          <w:rFonts w:ascii="Consolas" w:cs="Consolas" w:eastAsia="Consolas" w:hAnsi="Consolas"/>
          <w:sz w:val="19"/>
          <w:szCs w:val="19"/>
          <w:shd w:fill="EEF1F5" w:color="auto" w:val="clear"/>
        </w:rPr>
        <w:t xml:space="preserve">M1Live</w:t>
      </w:r>
      <w:r>
        <w:t xml:space="preserve">) gave </w:t>
      </w:r>
      <w:r>
        <w:rPr>
          <w:b/>
          <w:bCs/>
        </w:rPr>
        <w:t xml:space="preserve">300 of 300 answers identical</w:t>
      </w:r>
      <w:r>
        <w:t xml:space="preserve"> to the run that measured 0.660, proving that what runs in the product is the model that was evaluated.</w:t>
      </w:r>
    </w:p>
    <w:p>
      <w:pPr>
        <w:pStyle w:val="Heading2"/>
      </w:pPr>
      <w:bookmarkStart w:name="bm_model_serve" w:id="1"/>
      <w:r>
        <w:t xml:space="preserve">4.8   How M1 is served</w:t>
      </w:r>
      <w:bookmarkEnd w:id="1"/>
    </w:p>
    <w:p>
      <w:pPr>
        <w:keepNext/>
        <w:spacing w:after="0" w:before="120"/>
        <w:jc w:val="center"/>
      </w:pPr>
      <w:r>
        <w:drawing>
          <wp:inline distT="0" distB="0" distL="0" distR="0">
            <wp:extent cx="4857750"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857750" cy="7239000"/>
                    </a:xfrm>
                    <a:prstGeom prst="rect">
                      <a:avLst/>
                    </a:prstGeom>
                  </pic:spPr>
                </pic:pic>
              </a:graphicData>
            </a:graphic>
          </wp:inline>
        </w:drawing>
      </w:r>
    </w:p>
    <w:p>
      <w:pPr>
        <w:keepLines/>
        <w:spacing w:after="220" w:before="60"/>
        <w:jc w:val="center"/>
      </w:pPr>
      <w:r>
        <w:rPr>
          <w:b/>
          <w:bCs/>
          <w:color w:val="0B2545"/>
          <w:sz w:val="17"/>
          <w:szCs w:val="17"/>
        </w:rPr>
        <w:t xml:space="preserve">Figure 15. </w:t>
      </w:r>
      <w:r>
        <w:rPr>
          <w:i/>
          <w:iCs/>
          <w:color w:val="6B7280"/>
          <w:sz w:val="17"/>
          <w:szCs w:val="17"/>
        </w:rPr>
        <w:t xml:space="preserve">M1 serving modes. The result's </w:t>
      </w:r>
      <w:r>
        <w:rPr>
          <w:rFonts w:ascii="Consolas" w:cs="Consolas" w:eastAsia="Consolas" w:hAnsi="Consolas"/>
          <w:i/>
          <w:iCs/>
          <w:color w:val="6B7280"/>
          <w:sz w:val="15"/>
          <w:szCs w:val="15"/>
          <w:shd w:fill="EEF1F5" w:color="auto" w:val="clear"/>
        </w:rPr>
        <w:t xml:space="preserve">engine</w:t>
      </w:r>
      <w:r>
        <w:rPr>
          <w:i/>
          <w:iCs/>
          <w:color w:val="6B7280"/>
          <w:sz w:val="17"/>
          <w:szCs w:val="17"/>
        </w:rPr>
        <w:t xml:space="preserve"> and </w:t>
      </w:r>
      <w:r>
        <w:rPr>
          <w:rFonts w:ascii="Consolas" w:cs="Consolas" w:eastAsia="Consolas" w:hAnsi="Consolas"/>
          <w:i/>
          <w:iCs/>
          <w:color w:val="6B7280"/>
          <w:sz w:val="15"/>
          <w:szCs w:val="15"/>
          <w:shd w:fill="EEF1F5" w:color="auto" w:val="clear"/>
        </w:rPr>
        <w:t xml:space="preserve">precomputed</w:t>
      </w:r>
      <w:r>
        <w:rPr>
          <w:i/>
          <w:iCs/>
          <w:color w:val="6B7280"/>
          <w:sz w:val="17"/>
          <w:szCs w:val="17"/>
        </w:rPr>
        <w:t xml:space="preserve"> fields always disclose which path answered.</w:t>
      </w:r>
    </w:p>
    <w:p>
      <w:pPr>
        <w:jc w:val="both"/>
      </w:pPr>
      <w:r>
        <w:t xml:space="preserve">On real imagery the whole system was run end to end over every question on 10 VRSBench validation images (38 questions): exact match </w:t>
      </w:r>
      <w:r>
        <w:rPr>
          <w:b/>
          <w:bCs/>
        </w:rPr>
        <w:t xml:space="preserve">0.605</w:t>
      </w:r>
      <w:r>
        <w:t xml:space="preserve">; M1 answered 30 and was right on 23 (77 %). This small sample (±16 points) is used to find </w:t>
      </w:r>
      <w:r>
        <w:rPr>
          <w:i/>
          <w:iCs/>
        </w:rPr>
        <w:t xml:space="preserve">where</w:t>
      </w:r>
      <w:r>
        <w:t xml:space="preserve"> answers are lost — it is not a headline figure.</w:t>
      </w:r>
    </w:p>
    <w:p>
      <w:pPr>
        <w:keepNext/>
        <w:spacing w:after="0" w:before="120"/>
        <w:jc w:val="center"/>
      </w:pPr>
      <w:r>
        <w:drawing>
          <wp:inline distT="0" distB="0" distL="0" distR="0">
            <wp:extent cx="6181725"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81725" cy="3867150"/>
                    </a:xfrm>
                    <a:prstGeom prst="rect">
                      <a:avLst/>
                    </a:prstGeom>
                  </pic:spPr>
                </pic:pic>
              </a:graphicData>
            </a:graphic>
          </wp:inline>
        </w:drawing>
      </w:r>
    </w:p>
    <w:p>
      <w:pPr>
        <w:keepLines/>
        <w:spacing w:after="220" w:before="60"/>
        <w:jc w:val="center"/>
      </w:pPr>
      <w:r>
        <w:rPr>
          <w:b/>
          <w:bCs/>
          <w:color w:val="0B2545"/>
          <w:sz w:val="17"/>
          <w:szCs w:val="17"/>
        </w:rPr>
        <w:t xml:space="preserve">Figure 16. </w:t>
      </w:r>
      <w:r>
        <w:rPr>
          <w:i/>
          <w:iCs/>
          <w:color w:val="6B7280"/>
          <w:sz w:val="17"/>
          <w:szCs w:val="17"/>
        </w:rPr>
        <w:t xml:space="preserve">The workstation answering “How many bridges are visible?” on a real VRSBench validation photograph with M1 (answer: 2, confidence 0.74, clearly labelled PRE-COMPUTED).</w:t>
      </w:r>
    </w:p>
    <w:p>
      <w:pPr>
        <w:pStyle w:val="Heading1"/>
        <w:pageBreakBefore/>
        <w:pBdr>
          <w:bottom w:val="single" w:color="0B2545" w:sz="18" w:space="4"/>
        </w:pBdr>
      </w:pPr>
      <w:bookmarkStart w:name="bm_design" w:id="1"/>
      <w:r>
        <w:t xml:space="preserve">5   System Design and Architecture</w:t>
      </w:r>
      <w:bookmarkEnd w:id="1"/>
    </w:p>
    <w:p>
      <w:pPr>
        <w:jc w:val="both"/>
      </w:pPr>
      <w:r>
        <w:t xml:space="preserve">The structure is described with the </w:t>
      </w:r>
      <w:r>
        <w:rPr>
          <w:b/>
          <w:bCs/>
        </w:rPr>
        <w:t xml:space="preserve">C4 model</w:t>
      </w:r>
      <w:r>
        <w:t xml:space="preserve"> </w:t>
      </w:r>
      <w:hyperlink w:history="1" w:anchor="bm_ref_38">
        <w:r>
          <w:rPr>
            <w:color w:val="2A78D6"/>
          </w:rPr>
          <w:t xml:space="preserve">[38]</w:t>
        </w:r>
      </w:hyperlink>
      <w:r>
        <w:t xml:space="preserve"> — context, containers and components — followed by the deployment and runtime views that matter most for a hackathon system that must survive a venue.</w:t>
      </w:r>
    </w:p>
    <w:p>
      <w:pPr>
        <w:pStyle w:val="Heading2"/>
      </w:pPr>
      <w:bookmarkStart w:name="bm_design_context" w:id="1"/>
      <w:r>
        <w:t xml:space="preserve">5.1   System context</w:t>
      </w:r>
      <w:bookmarkEnd w:id="1"/>
    </w:p>
    <w:p>
      <w:pPr>
        <w:keepNext/>
        <w:spacing w:after="0" w:before="120"/>
        <w:jc w:val="center"/>
      </w:pPr>
      <w:r>
        <w:drawing>
          <wp:inline distT="0" distB="0" distL="0" distR="0">
            <wp:extent cx="4619625"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619625" cy="4191000"/>
                    </a:xfrm>
                    <a:prstGeom prst="rect">
                      <a:avLst/>
                    </a:prstGeom>
                  </pic:spPr>
                </pic:pic>
              </a:graphicData>
            </a:graphic>
          </wp:inline>
        </w:drawing>
      </w:r>
    </w:p>
    <w:p>
      <w:pPr>
        <w:keepLines/>
        <w:spacing w:after="220" w:before="60"/>
        <w:jc w:val="center"/>
      </w:pPr>
      <w:r>
        <w:rPr>
          <w:b/>
          <w:bCs/>
          <w:color w:val="0B2545"/>
          <w:sz w:val="17"/>
          <w:szCs w:val="17"/>
        </w:rPr>
        <w:t xml:space="preserve">Figure 17. </w:t>
      </w:r>
      <w:r>
        <w:rPr>
          <w:i/>
          <w:iCs/>
          <w:color w:val="6B7280"/>
          <w:sz w:val="17"/>
          <w:szCs w:val="17"/>
        </w:rPr>
        <w:t xml:space="preserve">Level 1 — system context. Every external dependency is build-time only; at run time the system needs no network.</w:t>
      </w:r>
    </w:p>
    <w:p>
      <w:pPr>
        <w:pStyle w:val="Heading2"/>
      </w:pPr>
      <w:bookmarkStart w:name="bm_design_containers" w:id="1"/>
      <w:r>
        <w:t xml:space="preserve">5.2   Containers</w:t>
      </w:r>
      <w:bookmarkEnd w:id="1"/>
    </w:p>
    <w:p>
      <w:pPr>
        <w:keepNext/>
        <w:spacing w:after="0" w:before="120"/>
        <w:jc w:val="center"/>
      </w:pPr>
      <w:r>
        <w:drawing>
          <wp:inline distT="0" distB="0" distL="0" distR="0">
            <wp:extent cx="3038475"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038475" cy="4191000"/>
                    </a:xfrm>
                    <a:prstGeom prst="rect">
                      <a:avLst/>
                    </a:prstGeom>
                  </pic:spPr>
                </pic:pic>
              </a:graphicData>
            </a:graphic>
          </wp:inline>
        </w:drawing>
      </w:r>
    </w:p>
    <w:p>
      <w:pPr>
        <w:keepLines/>
        <w:spacing w:after="220" w:before="60"/>
        <w:jc w:val="center"/>
      </w:pPr>
      <w:r>
        <w:rPr>
          <w:b/>
          <w:bCs/>
          <w:color w:val="0B2545"/>
          <w:sz w:val="17"/>
          <w:szCs w:val="17"/>
        </w:rPr>
        <w:t xml:space="preserve">Figure 18. </w:t>
      </w:r>
      <w:r>
        <w:rPr>
          <w:i/>
          <w:iCs/>
          <w:color w:val="6B7280"/>
          <w:sz w:val="17"/>
          <w:szCs w:val="17"/>
        </w:rPr>
        <w:t xml:space="preserve">Level 2 — containers. The model runtime is isolated because it is the only unit that needs a GPU and the only one that can run out of memory.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9"/>
        <w:gridCol w:w="3314"/>
        <w:gridCol w:w="1949"/>
        <w:gridCol w:w="2534"/>
      </w:tblGrid>
      <w:tr>
        <w:trPr>
          <w:tblHeader/>
        </w:trPr>
        <w:tc>
          <w:tcPr>
            <w:tcW w:type="dxa" w:w="1949"/>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Container</w:t>
            </w:r>
          </w:p>
        </w:tc>
        <w:tc>
          <w:tcPr>
            <w:tcW w:type="dxa" w:w="3314"/>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Technology</w:t>
            </w:r>
          </w:p>
        </w:tc>
        <w:tc>
          <w:tcPr>
            <w:tcW w:type="dxa" w:w="1949"/>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Scales</w:t>
            </w:r>
          </w:p>
        </w:tc>
        <w:tc>
          <w:tcPr>
            <w:tcW w:type="dxa" w:w="2534"/>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If it fails</w:t>
            </w:r>
          </w:p>
        </w:tc>
      </w:tr>
      <w:tr>
        <w:trPr>
          <w:cantSplit/>
        </w:trPr>
        <w:tc>
          <w:tcPr>
            <w:tcW w:type="dxa" w:w="194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Web application</w:t>
            </w:r>
          </w:p>
        </w:tc>
        <w:tc>
          <w:tcPr>
            <w:tcW w:type="dxa" w:w="331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React 19, TypeScript, Vite, Tailwind, three.js</w:t>
            </w:r>
          </w:p>
        </w:tc>
        <w:tc>
          <w:tcPr>
            <w:tcW w:type="dxa" w:w="194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CDN, stateless</w:t>
            </w:r>
          </w:p>
        </w:tc>
        <w:tc>
          <w:tcPr>
            <w:tcW w:type="dxa" w:w="253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Answer text still renders</w:t>
            </w:r>
          </w:p>
        </w:tc>
      </w:tr>
      <w:tr>
        <w:trPr>
          <w:cantSplit/>
        </w:trPr>
        <w:tc>
          <w:tcPr>
            <w:tcW w:type="dxa" w:w="194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API service</w:t>
            </w:r>
          </w:p>
        </w:tc>
        <w:tc>
          <w:tcPr>
            <w:tcW w:type="dxa" w:w="331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Python, FastAPI, uvicorn</w:t>
            </w:r>
          </w:p>
        </w:tc>
        <w:tc>
          <w:tcPr>
            <w:tcW w:type="dxa" w:w="194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Horizontally, stateless</w:t>
            </w:r>
          </w:p>
        </w:tc>
        <w:tc>
          <w:tcPr>
            <w:tcW w:type="dxa" w:w="253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Total outage</w:t>
            </w:r>
          </w:p>
        </w:tc>
      </w:tr>
      <w:tr>
        <w:trPr>
          <w:cantSplit/>
        </w:trPr>
        <w:tc>
          <w:tcPr>
            <w:tcW w:type="dxa" w:w="194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b/>
                <w:bCs/>
                <w:sz w:val="19"/>
                <w:szCs w:val="19"/>
              </w:rPr>
              <w:t xml:space="preserve">Model runtime</w:t>
            </w:r>
          </w:p>
        </w:tc>
        <w:tc>
          <w:tcPr>
            <w:tcW w:type="dxa" w:w="331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PyTorch, Transformers, PEFT, bitsandbytes</w:t>
            </w:r>
          </w:p>
        </w:tc>
        <w:tc>
          <w:tcPr>
            <w:tcW w:type="dxa" w:w="194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b/>
                <w:bCs/>
                <w:sz w:val="19"/>
                <w:szCs w:val="19"/>
              </w:rPr>
              <w:t xml:space="preserve">Vertically — bound by GPU memory</w:t>
            </w:r>
          </w:p>
        </w:tc>
        <w:tc>
          <w:tcPr>
            <w:tcW w:type="dxa" w:w="253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b/>
                <w:bCs/>
                <w:sz w:val="19"/>
                <w:szCs w:val="19"/>
              </w:rPr>
              <w:t xml:space="preserve">Falls back to pre-computed or classical, disclosed</w:t>
            </w:r>
          </w:p>
        </w:tc>
      </w:tr>
      <w:tr>
        <w:trPr>
          <w:cantSplit/>
        </w:trPr>
        <w:tc>
          <w:tcPr>
            <w:tcW w:type="dxa" w:w="194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Results store</w:t>
            </w:r>
          </w:p>
        </w:tc>
        <w:tc>
          <w:tcPr>
            <w:tcW w:type="dxa" w:w="331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SQLite (today); PostgreSQL + PostGIS (ADR-009)</w:t>
            </w:r>
          </w:p>
        </w:tc>
        <w:tc>
          <w:tcPr>
            <w:tcW w:type="dxa" w:w="194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Single instance is ample</w:t>
            </w:r>
          </w:p>
        </w:tc>
        <w:tc>
          <w:tcPr>
            <w:tcW w:type="dxa" w:w="253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Results not persisted; live queries still answer</w:t>
            </w:r>
          </w:p>
        </w:tc>
      </w:tr>
      <w:tr>
        <w:trPr>
          <w:cantSplit/>
        </w:trPr>
        <w:tc>
          <w:tcPr>
            <w:tcW w:type="dxa" w:w="194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Raster / adapter stores</w:t>
            </w:r>
          </w:p>
        </w:tc>
        <w:tc>
          <w:tcPr>
            <w:tcW w:type="dxa" w:w="331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Filesystem or S3-compatible; PEFT packs</w:t>
            </w:r>
          </w:p>
        </w:tc>
        <w:tc>
          <w:tcPr>
            <w:tcW w:type="dxa" w:w="194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w:t>
            </w:r>
          </w:p>
        </w:tc>
        <w:tc>
          <w:tcPr>
            <w:tcW w:type="dxa" w:w="253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Base model only, degraded accuracy</w:t>
            </w:r>
          </w:p>
        </w:tc>
      </w:tr>
    </w:tbl>
    <w:p>
      <w:pPr>
        <w:spacing w:after="160"/>
      </w:pPr>
    </w:p>
    <w:p>
      <w:pPr>
        <w:pStyle w:val="Heading2"/>
      </w:pPr>
      <w:bookmarkStart w:name="bm_design_components" w:id="1"/>
      <w:r>
        <w:t xml:space="preserve">5.3   Components and the six processing layers</w:t>
      </w:r>
      <w:bookmarkEnd w:id="1"/>
    </w:p>
    <w:p>
      <w:pPr>
        <w:keepNext/>
        <w:spacing w:after="0" w:before="120"/>
        <w:jc w:val="center"/>
      </w:pPr>
      <w:r>
        <w:drawing>
          <wp:inline distT="0" distB="0" distL="0" distR="0">
            <wp:extent cx="3324225"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324225" cy="7239000"/>
                    </a:xfrm>
                    <a:prstGeom prst="rect">
                      <a:avLst/>
                    </a:prstGeom>
                  </pic:spPr>
                </pic:pic>
              </a:graphicData>
            </a:graphic>
          </wp:inline>
        </w:drawing>
      </w:r>
    </w:p>
    <w:p>
      <w:pPr>
        <w:keepLines/>
        <w:spacing w:after="220" w:before="60"/>
        <w:jc w:val="center"/>
      </w:pPr>
      <w:r>
        <w:rPr>
          <w:b/>
          <w:bCs/>
          <w:color w:val="0B2545"/>
          <w:sz w:val="17"/>
          <w:szCs w:val="17"/>
        </w:rPr>
        <w:t xml:space="preserve">Figure 19. </w:t>
      </w:r>
      <w:r>
        <w:rPr>
          <w:i/>
          <w:iCs/>
          <w:color w:val="6B7280"/>
          <w:sz w:val="17"/>
          <w:szCs w:val="17"/>
        </w:rPr>
        <w:t xml:space="preserve">Level 3 — components, mapped one-to-one onto modules of the </w:t>
      </w:r>
      <w:r>
        <w:rPr>
          <w:rFonts w:ascii="Consolas" w:cs="Consolas" w:eastAsia="Consolas" w:hAnsi="Consolas"/>
          <w:i/>
          <w:iCs/>
          <w:color w:val="6B7280"/>
          <w:sz w:val="15"/>
          <w:szCs w:val="15"/>
          <w:shd w:fill="EEF1F5" w:color="auto" w:val="clear"/>
        </w:rPr>
        <w:t xml:space="preserve">satquery</w:t>
      </w:r>
      <w:r>
        <w:rPr>
          <w:i/>
          <w:iCs/>
          <w:color w:val="6B7280"/>
          <w:sz w:val="17"/>
          <w:szCs w:val="17"/>
        </w:rPr>
        <w:t xml:space="preserve"> Python package.</w:t>
      </w:r>
    </w:p>
    <w:p>
      <w:pPr>
        <w:jc w:val="both"/>
      </w:pPr>
      <w:r>
        <w:t xml:space="preserve">Two structural rules are checkable by following the arrows: the answer layer is downstream of </w:t>
      </w:r>
      <w:r>
        <w:rPr>
          <w:b/>
          <w:bCs/>
        </w:rPr>
        <w:t xml:space="preserve">evidence</w:t>
      </w:r>
      <w:r>
        <w:t xml:space="preserve">, never of a model (ADR-007); and SAR processing sits on its own path rather than inside the optical model (ADR-003).</w:t>
      </w:r>
    </w:p>
    <w:p>
      <w:pPr>
        <w:pStyle w:val="Heading2"/>
      </w:pPr>
      <w:bookmarkStart w:name="bm_design_deploy" w:id="1"/>
      <w:r>
        <w:t xml:space="preserve">5.4   Deployment view</w:t>
      </w:r>
      <w:bookmarkEnd w:id="1"/>
    </w:p>
    <w:p>
      <w:pPr>
        <w:keepNext/>
        <w:spacing w:after="0" w:before="120"/>
        <w:jc w:val="center"/>
      </w:pPr>
      <w:r>
        <w:drawing>
          <wp:inline distT="0" distB="0" distL="0" distR="0">
            <wp:extent cx="6181725"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181725" cy="3209925"/>
                    </a:xfrm>
                    <a:prstGeom prst="rect">
                      <a:avLst/>
                    </a:prstGeom>
                  </pic:spPr>
                </pic:pic>
              </a:graphicData>
            </a:graphic>
          </wp:inline>
        </w:drawing>
      </w:r>
    </w:p>
    <w:p>
      <w:pPr>
        <w:keepLines/>
        <w:spacing w:after="220" w:before="60"/>
        <w:jc w:val="center"/>
      </w:pPr>
      <w:r>
        <w:rPr>
          <w:b/>
          <w:bCs/>
          <w:color w:val="0B2545"/>
          <w:sz w:val="17"/>
          <w:szCs w:val="17"/>
        </w:rPr>
        <w:t xml:space="preserve">Figure 20. </w:t>
      </w:r>
      <w:r>
        <w:rPr>
          <w:i/>
          <w:iCs/>
          <w:color w:val="6B7280"/>
          <w:sz w:val="17"/>
          <w:szCs w:val="17"/>
        </w:rPr>
        <w:t xml:space="preserve">Three environments with genuinely different constraints.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24"/>
        <w:gridCol w:w="6822"/>
      </w:tblGrid>
      <w:tr>
        <w:trPr>
          <w:tblHeader/>
        </w:trPr>
        <w:tc>
          <w:tcPr>
            <w:tcW w:type="dxa" w:w="2924"/>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Venue constraint</w:t>
            </w:r>
          </w:p>
        </w:tc>
        <w:tc>
          <w:tcPr>
            <w:tcW w:type="dxa" w:w="6822"/>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Consequence for the design</w:t>
            </w:r>
          </w:p>
        </w:tc>
      </w:tr>
      <w:tr>
        <w:trPr>
          <w:cantSplit/>
        </w:trPr>
        <w:tc>
          <w:tcPr>
            <w:tcW w:type="dxa" w:w="292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No network</w:t>
            </w:r>
          </w:p>
        </w:tc>
        <w:tc>
          <w:tcPr>
            <w:tcW w:type="dxa" w:w="6822"/>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Every weight, dataset sample and map asset is local; no CDN fonts, remote basemaps or model downloads.</w:t>
            </w:r>
          </w:p>
        </w:tc>
      </w:tr>
      <w:tr>
        <w:trPr>
          <w:cantSplit/>
        </w:trPr>
        <w:tc>
          <w:tcPr>
            <w:tcW w:type="dxa" w:w="292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6–8 GB GPU</w:t>
            </w:r>
          </w:p>
        </w:tc>
        <w:tc>
          <w:tcPr>
            <w:tcW w:type="dxa" w:w="6822"/>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4-bit quantisation is mandatory, not an optimisation.</w:t>
            </w:r>
          </w:p>
        </w:tc>
      </w:tr>
      <w:tr>
        <w:trPr>
          <w:cantSplit/>
        </w:trPr>
        <w:tc>
          <w:tcPr>
            <w:tcW w:type="dxa" w:w="292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One machine</w:t>
            </w:r>
          </w:p>
        </w:tc>
        <w:tc>
          <w:tcPr>
            <w:tcW w:type="dxa" w:w="6822"/>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One command must bring everything up, cold, first time.</w:t>
            </w:r>
          </w:p>
        </w:tc>
      </w:tr>
      <w:tr>
        <w:trPr>
          <w:cantSplit/>
        </w:trPr>
        <w:tc>
          <w:tcPr>
            <w:tcW w:type="dxa" w:w="292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Ten-minute slot</w:t>
            </w:r>
          </w:p>
        </w:tc>
        <w:tc>
          <w:tcPr>
            <w:tcW w:type="dxa" w:w="6822"/>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Latency budget of seconds; the model is warmed before the judge arrives.</w:t>
            </w:r>
          </w:p>
        </w:tc>
      </w:tr>
      <w:tr>
        <w:trPr>
          <w:cantSplit/>
        </w:trPr>
        <w:tc>
          <w:tcPr>
            <w:tcW w:type="dxa" w:w="292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Unreliable conditions</w:t>
            </w:r>
          </w:p>
        </w:tc>
        <w:tc>
          <w:tcPr>
            <w:tcW w:type="dxa" w:w="6822"/>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Pre-computed results for demo scenes, labelled as such in the trace.</w:t>
            </w:r>
          </w:p>
        </w:tc>
      </w:tr>
    </w:tbl>
    <w:p>
      <w:pPr>
        <w:spacing w:after="160"/>
      </w:pPr>
    </w:p>
    <w:p>
      <w:pPr>
        <w:pStyle w:val="Heading2"/>
      </w:pPr>
      <w:bookmarkStart w:name="bm_design_runtime" w:id="1"/>
      <w:r>
        <w:t xml:space="preserve">5.5   Runtime views</w:t>
      </w:r>
      <w:bookmarkEnd w:id="1"/>
    </w:p>
    <w:p>
      <w:pPr>
        <w:pStyle w:val="Heading3"/>
      </w:pPr>
      <w:r>
        <w:t xml:space="preserve">Nominal path — a bi-temporal change query</w:t>
      </w:r>
    </w:p>
    <w:p>
      <w:pPr>
        <w:keepNext/>
        <w:spacing w:after="0" w:before="120"/>
        <w:jc w:val="center"/>
      </w:pPr>
      <w:r>
        <w:drawing>
          <wp:inline distT="0" distB="0" distL="0" distR="0">
            <wp:extent cx="6181725" cy="490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181725" cy="4905375"/>
                    </a:xfrm>
                    <a:prstGeom prst="rect">
                      <a:avLst/>
                    </a:prstGeom>
                  </pic:spPr>
                </pic:pic>
              </a:graphicData>
            </a:graphic>
          </wp:inline>
        </w:drawing>
      </w:r>
    </w:p>
    <w:p>
      <w:pPr>
        <w:keepLines/>
        <w:spacing w:after="220" w:before="60"/>
        <w:jc w:val="center"/>
      </w:pPr>
      <w:r>
        <w:rPr>
          <w:b/>
          <w:bCs/>
          <w:color w:val="0B2545"/>
          <w:sz w:val="17"/>
          <w:szCs w:val="17"/>
        </w:rPr>
        <w:t xml:space="preserve">Figure 21. </w:t>
      </w:r>
      <w:r>
        <w:rPr>
          <w:i/>
          <w:iCs/>
          <w:color w:val="6B7280"/>
          <w:sz w:val="17"/>
          <w:szCs w:val="17"/>
        </w:rPr>
        <w:t xml:space="preserve">Sequence of a nominal change query. The answer is written from evidence, never from the image.</w:t>
      </w:r>
    </w:p>
    <w:p>
      <w:pPr>
        <w:pStyle w:val="Heading3"/>
      </w:pPr>
      <w:r>
        <w:t xml:space="preserve">The refusal path</w:t>
      </w:r>
    </w:p>
    <w:p>
      <w:pPr>
        <w:keepNext/>
        <w:spacing w:after="0" w:before="120"/>
        <w:jc w:val="center"/>
      </w:pPr>
      <w:r>
        <w:drawing>
          <wp:inline distT="0" distB="0" distL="0" distR="0">
            <wp:extent cx="6181725"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181725" cy="2924175"/>
                    </a:xfrm>
                    <a:prstGeom prst="rect">
                      <a:avLst/>
                    </a:prstGeom>
                  </pic:spPr>
                </pic:pic>
              </a:graphicData>
            </a:graphic>
          </wp:inline>
        </w:drawing>
      </w:r>
    </w:p>
    <w:p>
      <w:pPr>
        <w:keepLines/>
        <w:spacing w:after="220" w:before="60"/>
        <w:jc w:val="center"/>
      </w:pPr>
      <w:r>
        <w:rPr>
          <w:b/>
          <w:bCs/>
          <w:color w:val="0B2545"/>
          <w:sz w:val="17"/>
          <w:szCs w:val="17"/>
        </w:rPr>
        <w:t xml:space="preserve">Figure 22. </w:t>
      </w:r>
      <w:r>
        <w:rPr>
          <w:i/>
          <w:iCs/>
          <w:color w:val="6B7280"/>
          <w:sz w:val="17"/>
          <w:szCs w:val="17"/>
        </w:rPr>
        <w:t xml:space="preserve">The refusal path completes in under a second and invokes no model.</w:t>
      </w:r>
    </w:p>
    <w:p>
      <w:pPr>
        <w:pStyle w:val="Heading3"/>
      </w:pPr>
      <w:r>
        <w:t xml:space="preserve">The degraded path — venue fallback</w:t>
      </w:r>
    </w:p>
    <w:p>
      <w:pPr>
        <w:keepNext/>
        <w:spacing w:after="0" w:before="120"/>
        <w:jc w:val="center"/>
      </w:pPr>
      <w:r>
        <w:drawing>
          <wp:inline distT="0" distB="0" distL="0" distR="0">
            <wp:extent cx="6181725"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181725" cy="1562100"/>
                    </a:xfrm>
                    <a:prstGeom prst="rect">
                      <a:avLst/>
                    </a:prstGeom>
                  </pic:spPr>
                </pic:pic>
              </a:graphicData>
            </a:graphic>
          </wp:inline>
        </w:drawing>
      </w:r>
    </w:p>
    <w:p>
      <w:pPr>
        <w:keepLines/>
        <w:spacing w:after="220" w:before="60"/>
        <w:jc w:val="center"/>
      </w:pPr>
      <w:r>
        <w:rPr>
          <w:b/>
          <w:bCs/>
          <w:color w:val="0B2545"/>
          <w:sz w:val="17"/>
          <w:szCs w:val="17"/>
        </w:rPr>
        <w:t xml:space="preserve">Figure 23. </w:t>
      </w:r>
      <w:r>
        <w:rPr>
          <w:i/>
          <w:iCs/>
          <w:color w:val="6B7280"/>
          <w:sz w:val="17"/>
          <w:szCs w:val="17"/>
        </w:rPr>
        <w:t xml:space="preserve">Degraded operation. A pre-computed result presented as live would be a fabrication; disclosed, it is engineering prudence.</w:t>
      </w:r>
    </w:p>
    <w:p>
      <w:pPr>
        <w:pStyle w:val="Heading2"/>
      </w:pPr>
      <w:bookmarkStart w:name="bm_design_api" w:id="1"/>
      <w:r>
        <w:t xml:space="preserve">5.6   API and result contract</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19"/>
        <w:gridCol w:w="6627"/>
      </w:tblGrid>
      <w:tr>
        <w:trPr>
          <w:tblHeader/>
        </w:trPr>
        <w:tc>
          <w:tcPr>
            <w:tcW w:type="dxa" w:w="3119"/>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Operation</w:t>
            </w:r>
          </w:p>
        </w:tc>
        <w:tc>
          <w:tcPr>
            <w:tcW w:type="dxa" w:w="6627"/>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Purpose</w:t>
            </w:r>
          </w:p>
        </w:tc>
      </w:tr>
      <w:tr>
        <w:trPr>
          <w:cantSplit/>
        </w:trPr>
        <w:tc>
          <w:tcPr>
            <w:tcW w:type="dxa" w:w="311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Upload imagery with a role</w:t>
            </w:r>
          </w:p>
        </w:tc>
        <w:tc>
          <w:tcPr>
            <w:tcW w:type="dxa" w:w="6627"/>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optical, SAR, T1 or T2; returns a raster summary (CRS, bands, GSD, size)</w:t>
            </w:r>
          </w:p>
        </w:tc>
      </w:tr>
      <w:tr>
        <w:trPr>
          <w:cantSplit/>
        </w:trPr>
        <w:tc>
          <w:tcPr>
            <w:tcW w:type="dxa" w:w="311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Query</w:t>
            </w:r>
          </w:p>
        </w:tc>
        <w:tc>
          <w:tcPr>
            <w:tcW w:type="dxa" w:w="6627"/>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query text + input set + threshold → the result contract below</w:t>
            </w:r>
          </w:p>
        </w:tc>
      </w:tr>
      <w:tr>
        <w:trPr>
          <w:cantSplit/>
        </w:trPr>
        <w:tc>
          <w:tcPr>
            <w:tcW w:type="dxa" w:w="311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Get run / trace</w:t>
            </w:r>
          </w:p>
        </w:tc>
        <w:tc>
          <w:tcPr>
            <w:tcW w:type="dxa" w:w="6627"/>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replay and audit any stored run</w:t>
            </w:r>
          </w:p>
        </w:tc>
      </w:tr>
      <w:tr>
        <w:trPr>
          <w:cantSplit/>
        </w:trPr>
        <w:tc>
          <w:tcPr>
            <w:tcW w:type="dxa" w:w="311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Download report and GeoJSON</w:t>
            </w:r>
          </w:p>
        </w:tc>
        <w:tc>
          <w:tcPr>
            <w:tcW w:type="dxa" w:w="6627"/>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hand-off artefacts that open in QGIS</w:t>
            </w:r>
          </w:p>
        </w:tc>
      </w:tr>
      <w:tr>
        <w:trPr>
          <w:cantSplit/>
        </w:trPr>
        <w:tc>
          <w:tcPr>
            <w:tcW w:type="dxa" w:w="311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Health</w:t>
            </w:r>
          </w:p>
        </w:tc>
        <w:tc>
          <w:tcPr>
            <w:tcW w:type="dxa" w:w="6627"/>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version, engine, each adapter pack's serving mode (live / pre-computed / not serving, with reason)</w:t>
            </w:r>
          </w:p>
        </w:tc>
      </w:tr>
      <w:tr>
        <w:trPr>
          <w:cantSplit/>
        </w:trPr>
        <w:tc>
          <w:tcPr>
            <w:tcW w:type="dxa" w:w="311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Registry</w:t>
            </w:r>
          </w:p>
        </w:tc>
        <w:tc>
          <w:tcPr>
            <w:tcW w:type="dxa" w:w="6627"/>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the tool registry exactly as the router sees it</w:t>
            </w:r>
          </w:p>
        </w:tc>
      </w:tr>
      <w:tr>
        <w:trPr>
          <w:cantSplit/>
        </w:trPr>
        <w:tc>
          <w:tcPr>
            <w:tcW w:type="dxa" w:w="311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Evaluation</w:t>
            </w:r>
          </w:p>
        </w:tc>
        <w:tc>
          <w:tcPr>
            <w:tcW w:type="dxa" w:w="6627"/>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metrics, ablation, calibration — with composite formulas printed</w:t>
            </w:r>
          </w:p>
        </w:tc>
      </w:tr>
    </w:tbl>
    <w:p>
      <w:pPr>
        <w:spacing w:after="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none" w:color="FFFFFF" w:sz="0"/>
              <w:left w:val="single" w:color="EDA100" w:sz="30"/>
              <w:bottom w:val="none" w:color="FFFFFF" w:sz="0"/>
              <w:right w:val="none" w:color="FFFFFF" w:sz="0"/>
            </w:tcBorders>
            <w:shd w:fill="0F1B2D" w:color="auto" w:val="clear"/>
            <w:tcMar>
              <w:top w:type="dxa" w:w="120"/>
              <w:left w:type="dxa" w:w="180"/>
              <w:bottom w:type="dxa" w:w="120"/>
              <w:right w:type="dxa" w:w="180"/>
            </w:tcMar>
          </w:tcPr>
          <w:p>
            <w:pPr>
              <w:spacing w:after="0" w:line="240"/>
            </w:pPr>
            <w:r>
              <w:rPr>
                <w:rFonts w:ascii="Consolas" w:cs="Consolas" w:eastAsia="Consolas" w:hAnsi="Consolas"/>
                <w:color w:val="E6EDF6"/>
                <w:sz w:val="16"/>
                <w:szCs w:val="16"/>
              </w:rPr>
              <w:t xml:space="preserve">{</w:t>
            </w:r>
          </w:p>
          <w:p>
            <w:pPr>
              <w:spacing w:after="0" w:line="240"/>
            </w:pPr>
            <w:r>
              <w:rPr>
                <w:rFonts w:ascii="Consolas" w:cs="Consolas" w:eastAsia="Consolas" w:hAnsi="Consolas"/>
                <w:color w:val="E6EDF6"/>
                <w:sz w:val="16"/>
                <w:szCs w:val="16"/>
              </w:rPr>
              <w:t xml:space="preserve">  "query": "...", "answer": "...",</w:t>
            </w:r>
          </w:p>
          <w:p>
            <w:pPr>
              <w:spacing w:after="0" w:line="240"/>
            </w:pPr>
            <w:r>
              <w:rPr>
                <w:rFonts w:ascii="Consolas" w:cs="Consolas" w:eastAsia="Consolas" w:hAnsi="Consolas"/>
                <w:color w:val="E6EDF6"/>
                <w:sz w:val="16"/>
                <w:szCs w:val="16"/>
              </w:rPr>
              <w:t xml:space="preserve">  "refused": false, "abstained": false, "confidence": 0.93,</w:t>
            </w:r>
          </w:p>
          <w:p>
            <w:pPr>
              <w:spacing w:after="0" w:line="240"/>
            </w:pPr>
            <w:r>
              <w:rPr>
                <w:rFonts w:ascii="Consolas" w:cs="Consolas" w:eastAsia="Consolas" w:hAnsi="Consolas"/>
                <w:color w:val="E6EDF6"/>
                <w:sz w:val="16"/>
                <w:szCs w:val="16"/>
              </w:rPr>
              <w:t xml:space="preserve">  "task": "cross_modal", "tools": ["optical_sar"], "params": {"threshold": 0.45},</w:t>
            </w:r>
          </w:p>
          <w:p>
            <w:pPr>
              <w:spacing w:after="0" w:line="240"/>
            </w:pPr>
            <w:r>
              <w:rPr>
                <w:rFonts w:ascii="Consolas" w:cs="Consolas" w:eastAsia="Consolas" w:hAnsi="Consolas"/>
                <w:color w:val="E6EDF6"/>
                <w:sz w:val="16"/>
                <w:szCs w:val="16"/>
              </w:rPr>
              <w:t xml:space="preserve">  "evidence": { "count": 5, "passing": 5, "items": [ /* evidence records */ ] },</w:t>
            </w:r>
          </w:p>
          <w:p>
            <w:pPr>
              <w:spacing w:after="0" w:line="240"/>
            </w:pPr>
            <w:r>
              <w:rPr>
                <w:rFonts w:ascii="Consolas" w:cs="Consolas" w:eastAsia="Consolas" w:hAnsi="Consolas"/>
                <w:color w:val="E6EDF6"/>
                <w:sz w:val="16"/>
                <w:szCs w:val="16"/>
              </w:rPr>
              <w:t xml:space="preserve">  "geojson":  { "type": "FeatureCollection", "features": [ /* EPSG:4326 */ ] },</w:t>
            </w:r>
          </w:p>
          <w:p>
            <w:pPr>
              <w:spacing w:after="0" w:line="240"/>
            </w:pPr>
            <w:r>
              <w:rPr>
                <w:rFonts w:ascii="Consolas" w:cs="Consolas" w:eastAsia="Consolas" w:hAnsi="Consolas"/>
                <w:color w:val="E6EDF6"/>
                <w:sz w:val="16"/>
                <w:szCs w:val="16"/>
              </w:rPr>
              <w:t xml:space="preserve">  "trace":    [ { "step": "...", "detail": "...", "ok": true, "ms": 0.1 } ],</w:t>
            </w:r>
          </w:p>
          <w:p>
            <w:pPr>
              <w:spacing w:after="0" w:line="240"/>
            </w:pPr>
            <w:r>
              <w:rPr>
                <w:rFonts w:ascii="Consolas" w:cs="Consolas" w:eastAsia="Consolas" w:hAnsi="Consolas"/>
                <w:color w:val="E6EDF6"/>
                <w:sz w:val="16"/>
                <w:szCs w:val="16"/>
              </w:rPr>
              <w:t xml:space="preserve">  "manifest": { "modality": "optical_sar", "count": 2, "rasters": [ ... ] },</w:t>
            </w:r>
          </w:p>
          <w:p>
            <w:pPr>
              <w:spacing w:after="0" w:line="240"/>
            </w:pPr>
            <w:r>
              <w:rPr>
                <w:rFonts w:ascii="Consolas" w:cs="Consolas" w:eastAsia="Consolas" w:hAnsi="Consolas"/>
                <w:color w:val="E6EDF6"/>
                <w:sz w:val="16"/>
                <w:szCs w:val="16"/>
              </w:rPr>
              <w:t xml:space="preserve">  "elapsed_ms": 64, "engine": "classical | neural+classical", "precomputed": false</w:t>
            </w:r>
          </w:p>
          <w:p>
            <w:pPr>
              <w:spacing w:after="0" w:line="240"/>
            </w:pPr>
            <w:r>
              <w:rPr>
                <w:rFonts w:ascii="Consolas" w:cs="Consolas" w:eastAsia="Consolas" w:hAnsi="Consolas"/>
                <w:color w:val="E6EDF6"/>
                <w:sz w:val="16"/>
                <w:szCs w:val="16"/>
              </w:rPr>
              <w:t xml:space="preserve">}</w:t>
            </w:r>
          </w:p>
        </w:tc>
      </w:tr>
    </w:tbl>
    <w:p>
      <w:pPr>
        <w:spacing w:after="160"/>
      </w:pPr>
    </w:p>
    <w:p>
      <w:pPr>
        <w:pStyle w:val="Heading2"/>
      </w:pPr>
      <w:bookmarkStart w:name="bm_design_cross" w:id="1"/>
      <w:r>
        <w:t xml:space="preserve">5.7   Cross-cutting concerns</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7"/>
        <w:gridCol w:w="7309"/>
      </w:tblGrid>
      <w:tr>
        <w:trPr>
          <w:tblHeader/>
        </w:trPr>
        <w:tc>
          <w:tcPr>
            <w:tcW w:type="dxa" w:w="2437"/>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Concern</w:t>
            </w:r>
          </w:p>
        </w:tc>
        <w:tc>
          <w:tcPr>
            <w:tcW w:type="dxa" w:w="7309"/>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Rule</w:t>
            </w:r>
          </w:p>
        </w:tc>
      </w:tr>
      <w:tr>
        <w:trPr>
          <w:cantSplit/>
        </w:trPr>
        <w:tc>
          <w:tcPr>
            <w:tcW w:type="dxa" w:w="2437"/>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Coordinate integrity</w:t>
            </w:r>
          </w:p>
        </w:tc>
        <w:tc>
          <w:tcPr>
            <w:tcW w:type="dxa" w:w="730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Every spatial output carries its CRS. UTM uploads (how Cartosat and Sentinel-2 are delivered) are converted to WGS84 and measured in metres; unsupported projections are refused into pixel space with a stated reason, never guessed. Areas on geographic imagery account for latitude.</w:t>
            </w:r>
          </w:p>
        </w:tc>
      </w:tr>
      <w:tr>
        <w:trPr>
          <w:cantSplit/>
        </w:trPr>
        <w:tc>
          <w:tcPr>
            <w:tcW w:type="dxa" w:w="2437"/>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Confidence</w:t>
            </w:r>
          </w:p>
        </w:tc>
        <w:tc>
          <w:tcPr>
            <w:tcW w:type="dxa" w:w="730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Every claim carries one; it is calibrated and measured (ECE), not decorative.</w:t>
            </w:r>
          </w:p>
        </w:tc>
      </w:tr>
      <w:tr>
        <w:trPr>
          <w:cantSplit/>
        </w:trPr>
        <w:tc>
          <w:tcPr>
            <w:tcW w:type="dxa" w:w="2437"/>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Auditability</w:t>
            </w:r>
          </w:p>
        </w:tc>
        <w:tc>
          <w:tcPr>
            <w:tcW w:type="dxa" w:w="730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Every request emits a trace — never chain-of-thought (ADR-008).</w:t>
            </w:r>
          </w:p>
        </w:tc>
      </w:tr>
      <w:tr>
        <w:trPr>
          <w:cantSplit/>
        </w:trPr>
        <w:tc>
          <w:tcPr>
            <w:tcW w:type="dxa" w:w="2437"/>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Abstention</w:t>
            </w:r>
          </w:p>
        </w:tc>
        <w:tc>
          <w:tcPr>
            <w:tcW w:type="dxa" w:w="730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Below threshold, decline; abstention precision is measured alongside accuracy.</w:t>
            </w:r>
          </w:p>
        </w:tc>
      </w:tr>
      <w:tr>
        <w:trPr>
          <w:cantSplit/>
        </w:trPr>
        <w:tc>
          <w:tcPr>
            <w:tcW w:type="dxa" w:w="2437"/>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Failure</w:t>
            </w:r>
          </w:p>
        </w:tc>
        <w:tc>
          <w:tcPr>
            <w:tcW w:type="dxa" w:w="730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Flag with a reason, never silently drop. A malformed GeoTIFF produces a readable error naming the missing field, not a stack trace.</w:t>
            </w:r>
          </w:p>
        </w:tc>
      </w:tr>
      <w:tr>
        <w:trPr>
          <w:cantSplit/>
        </w:trPr>
        <w:tc>
          <w:tcPr>
            <w:tcW w:type="dxa" w:w="2437"/>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Determinism</w:t>
            </w:r>
          </w:p>
        </w:tc>
        <w:tc>
          <w:tcPr>
            <w:tcW w:type="dxa" w:w="730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Seeds are recorded; a run replayed from its record gives an identical result.</w:t>
            </w:r>
          </w:p>
        </w:tc>
      </w:tr>
    </w:tbl>
    <w:p>
      <w:pPr>
        <w:spacing w:after="160"/>
      </w:pPr>
    </w:p>
    <w:p>
      <w:pPr>
        <w:pStyle w:val="Heading2"/>
      </w:pPr>
      <w:bookmarkStart w:name="bm_design_nfr" w:id="1"/>
      <w:r>
        <w:t xml:space="preserve">5.8   Quality-attribute targets</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80"/>
        <w:gridCol w:w="5848"/>
        <w:gridCol w:w="3118"/>
      </w:tblGrid>
      <w:tr>
        <w:trPr>
          <w:tblHeader/>
        </w:trPr>
        <w:tc>
          <w:tcPr>
            <w:tcW w:type="dxa" w:w="780"/>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w:t>
            </w:r>
          </w:p>
        </w:tc>
        <w:tc>
          <w:tcPr>
            <w:tcW w:type="dxa" w:w="5848"/>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Scenario</w:t>
            </w:r>
          </w:p>
        </w:tc>
        <w:tc>
          <w:tcPr>
            <w:tcW w:type="dxa" w:w="3118"/>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Target</w:t>
            </w:r>
          </w:p>
        </w:tc>
      </w:tr>
      <w:tr>
        <w:trPr>
          <w:cantSplit/>
        </w:trPr>
        <w:tc>
          <w:tcPr>
            <w:tcW w:type="dxa" w:w="780"/>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QA-1</w:t>
            </w:r>
          </w:p>
        </w:tc>
        <w:tc>
          <w:tcPr>
            <w:tcW w:type="dxa" w:w="5848"/>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Single-image VQA on the venue laptop, no network</w:t>
            </w:r>
          </w:p>
        </w:tc>
        <w:tc>
          <w:tcPr>
            <w:tcW w:type="dxa" w:w="3118"/>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&lt; 8 s at p95</w:t>
            </w:r>
          </w:p>
        </w:tc>
      </w:tr>
      <w:tr>
        <w:trPr>
          <w:cantSplit/>
        </w:trPr>
        <w:tc>
          <w:tcPr>
            <w:tcW w:type="dxa" w:w="780"/>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QA-2</w:t>
            </w:r>
          </w:p>
        </w:tc>
        <w:tc>
          <w:tcPr>
            <w:tcW w:type="dxa" w:w="5848"/>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Bi-temporal or cross-modal query, same machine</w:t>
            </w:r>
          </w:p>
        </w:tc>
        <w:tc>
          <w:tcPr>
            <w:tcW w:type="dxa" w:w="3118"/>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&lt; 15 s at p95 (classical path measured ~64–90 ms)</w:t>
            </w:r>
          </w:p>
        </w:tc>
      </w:tr>
      <w:tr>
        <w:trPr>
          <w:cantSplit/>
        </w:trPr>
        <w:tc>
          <w:tcPr>
            <w:tcW w:type="dxa" w:w="780"/>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QA-3</w:t>
            </w:r>
          </w:p>
        </w:tc>
        <w:tc>
          <w:tcPr>
            <w:tcW w:type="dxa" w:w="5848"/>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One image uploaded with a change question</w:t>
            </w:r>
          </w:p>
        </w:tc>
        <w:tc>
          <w:tcPr>
            <w:tcW w:type="dxa" w:w="3118"/>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Refusal in &lt; 1 s, no model invoked</w:t>
            </w:r>
          </w:p>
        </w:tc>
      </w:tr>
      <w:tr>
        <w:trPr>
          <w:cantSplit/>
        </w:trPr>
        <w:tc>
          <w:tcPr>
            <w:tcW w:type="dxa" w:w="780"/>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QA-4</w:t>
            </w:r>
          </w:p>
        </w:tc>
        <w:tc>
          <w:tcPr>
            <w:tcW w:type="dxa" w:w="5848"/>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Malformed GeoTIFF with no CRS</w:t>
            </w:r>
          </w:p>
        </w:tc>
        <w:tc>
          <w:tcPr>
            <w:tcW w:type="dxa" w:w="3118"/>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Readable error naming the field; no crash</w:t>
            </w:r>
          </w:p>
        </w:tc>
      </w:tr>
      <w:tr>
        <w:trPr>
          <w:cantSplit/>
        </w:trPr>
        <w:tc>
          <w:tcPr>
            <w:tcW w:type="dxa" w:w="780"/>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QA-5</w:t>
            </w:r>
          </w:p>
        </w:tc>
        <w:tc>
          <w:tcPr>
            <w:tcW w:type="dxa" w:w="5848"/>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Model runtime unavailable</w:t>
            </w:r>
          </w:p>
        </w:tc>
        <w:tc>
          <w:tcPr>
            <w:tcW w:type="dxa" w:w="3118"/>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Staged scenes answer, labelled pre-computed</w:t>
            </w:r>
          </w:p>
        </w:tc>
      </w:tr>
      <w:tr>
        <w:trPr>
          <w:cantSplit/>
        </w:trPr>
        <w:tc>
          <w:tcPr>
            <w:tcW w:type="dxa" w:w="780"/>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QA-6</w:t>
            </w:r>
          </w:p>
        </w:tc>
        <w:tc>
          <w:tcPr>
            <w:tcW w:type="dxa" w:w="5848"/>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System states confidence 0.9</w:t>
            </w:r>
          </w:p>
        </w:tc>
        <w:tc>
          <w:tcPr>
            <w:tcW w:type="dxa" w:w="3118"/>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Correct on ≈ 90 %; ECE reported</w:t>
            </w:r>
          </w:p>
        </w:tc>
      </w:tr>
      <w:tr>
        <w:trPr>
          <w:cantSplit/>
        </w:trPr>
        <w:tc>
          <w:tcPr>
            <w:tcW w:type="dxa" w:w="780"/>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QA-7</w:t>
            </w:r>
          </w:p>
        </w:tc>
        <w:tc>
          <w:tcPr>
            <w:tcW w:type="dxa" w:w="5848"/>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4-bit model on a 6 GB laptop GPU</w:t>
            </w:r>
          </w:p>
        </w:tc>
        <w:tc>
          <w:tcPr>
            <w:tcW w:type="dxa" w:w="3118"/>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Loads and serves without running out of memory</w:t>
            </w:r>
          </w:p>
        </w:tc>
      </w:tr>
      <w:tr>
        <w:trPr>
          <w:cantSplit/>
        </w:trPr>
        <w:tc>
          <w:tcPr>
            <w:tcW w:type="dxa" w:w="780"/>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QA-8</w:t>
            </w:r>
          </w:p>
        </w:tc>
        <w:tc>
          <w:tcPr>
            <w:tcW w:type="dxa" w:w="5848"/>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Adapter swapped between requests</w:t>
            </w:r>
          </w:p>
        </w:tc>
        <w:tc>
          <w:tcPr>
            <w:tcW w:type="dxa" w:w="3118"/>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&lt; 200 ms added</w:t>
            </w:r>
          </w:p>
        </w:tc>
      </w:tr>
    </w:tbl>
    <w:p>
      <w:pPr>
        <w:pStyle w:val="Heading1"/>
        <w:pageBreakBefore/>
        <w:pBdr>
          <w:bottom w:val="single" w:color="0B2545" w:sz="18" w:space="4"/>
        </w:pBdr>
      </w:pPr>
      <w:bookmarkStart w:name="bm_stack" w:id="1"/>
      <w:r>
        <w:t xml:space="preserve">6   Technology Stack</w:t>
      </w:r>
      <w:bookmarkEnd w:id="1"/>
    </w:p>
    <w:p>
      <w:pPr>
        <w:jc w:val="both"/>
      </w:pPr>
      <w:r>
        <w:t xml:space="preserve">Every component is open source and runs offline. The stack was chosen for three properties: the ML and the backend share one language, the geospatial path preserves coordinates end to end, and nothing at run time needs the internet.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4"/>
        <w:gridCol w:w="3606"/>
        <w:gridCol w:w="4386"/>
      </w:tblGrid>
      <w:tr>
        <w:trPr>
          <w:tblHeader/>
        </w:trPr>
        <w:tc>
          <w:tcPr>
            <w:tcW w:type="dxa" w:w="1754"/>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Layer</w:t>
            </w:r>
          </w:p>
        </w:tc>
        <w:tc>
          <w:tcPr>
            <w:tcW w:type="dxa" w:w="3606"/>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Technology</w:t>
            </w:r>
          </w:p>
        </w:tc>
        <w:tc>
          <w:tcPr>
            <w:tcW w:type="dxa" w:w="4386"/>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Why this choice</w:t>
            </w:r>
          </w:p>
        </w:tc>
      </w:tr>
      <w:tr>
        <w:trPr>
          <w:cantSplit/>
        </w:trPr>
        <w:tc>
          <w:tcPr>
            <w:tcW w:type="dxa" w:w="175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Base model</w:t>
            </w:r>
          </w:p>
        </w:tc>
        <w:tc>
          <w:tcPr>
            <w:tcW w:type="dxa" w:w="3606"/>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Qwen2-VL-7B-Instruct (Apache-2.0) </w:t>
            </w:r>
            <w:hyperlink w:history="1" w:anchor="bm_ref_32">
              <w:r>
                <w:rPr>
                  <w:color w:val="2A78D6"/>
                  <w:sz w:val="19"/>
                  <w:szCs w:val="19"/>
                </w:rPr>
                <w:t xml:space="preserve">[32]</w:t>
              </w:r>
            </w:hyperlink>
          </w:p>
        </w:tc>
        <w:tc>
          <w:tcPr>
            <w:tcW w:type="dxa" w:w="4386"/>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Loads on current libraries; licence permits handing weights to ISRO; measured zero-shot baseline</w:t>
            </w:r>
          </w:p>
        </w:tc>
      </w:tr>
      <w:tr>
        <w:trPr>
          <w:cantSplit/>
        </w:trPr>
        <w:tc>
          <w:tcPr>
            <w:tcW w:type="dxa" w:w="175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Adaptation</w:t>
            </w:r>
          </w:p>
        </w:tc>
        <w:tc>
          <w:tcPr>
            <w:tcW w:type="dxa" w:w="3606"/>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PEFT LoRA / QLoRA, bitsandbytes 4-bit NF4, Hugging Face Transformers, PyTorch </w:t>
            </w:r>
            <w:hyperlink w:history="1" w:anchor="bm_ref_12">
              <w:r>
                <w:rPr>
                  <w:color w:val="2A78D6"/>
                  <w:sz w:val="19"/>
                  <w:szCs w:val="19"/>
                </w:rPr>
                <w:t xml:space="preserve">[12]</w:t>
              </w:r>
            </w:hyperlink>
            <w:hyperlink w:history="1" w:anchor="bm_ref_33">
              <w:r>
                <w:rPr>
                  <w:color w:val="2A78D6"/>
                  <w:sz w:val="19"/>
                  <w:szCs w:val="19"/>
                </w:rPr>
                <w:t xml:space="preserve">[33]</w:t>
              </w:r>
            </w:hyperlink>
          </w:p>
        </w:tc>
        <w:tc>
          <w:tcPr>
            <w:tcW w:type="dxa" w:w="4386"/>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0.107 % of parameters trained; fits a free 16 GB GPU; 20 MB artefact</w:t>
            </w:r>
          </w:p>
        </w:tc>
      </w:tr>
      <w:tr>
        <w:trPr>
          <w:cantSplit/>
        </w:trPr>
        <w:tc>
          <w:tcPr>
            <w:tcW w:type="dxa" w:w="175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Training compute</w:t>
            </w:r>
          </w:p>
        </w:tc>
        <w:tc>
          <w:tcPr>
            <w:tcW w:type="dxa" w:w="3606"/>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Kaggle T4 (free tier), fp16, checkpoint + resume</w:t>
            </w:r>
          </w:p>
        </w:tc>
        <w:tc>
          <w:tcPr>
            <w:tcW w:type="dxa" w:w="4386"/>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No paid GPU required; 9-hour sessions handled by resume</w:t>
            </w:r>
          </w:p>
        </w:tc>
      </w:tr>
      <w:tr>
        <w:trPr>
          <w:cantSplit/>
        </w:trPr>
        <w:tc>
          <w:tcPr>
            <w:tcW w:type="dxa" w:w="175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Classical vision</w:t>
            </w:r>
          </w:p>
        </w:tc>
        <w:tc>
          <w:tcPr>
            <w:tcW w:type="dxa" w:w="3606"/>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NumPy, Pillow; Lee speckle filter </w:t>
            </w:r>
            <w:hyperlink w:history="1" w:anchor="bm_ref_34">
              <w:r>
                <w:rPr>
                  <w:color w:val="2A78D6"/>
                  <w:sz w:val="19"/>
                  <w:szCs w:val="19"/>
                </w:rPr>
                <w:t xml:space="preserve">[34]</w:t>
              </w:r>
            </w:hyperlink>
            <w:r>
              <w:rPr>
                <w:sz w:val="19"/>
                <w:szCs w:val="19"/>
              </w:rPr>
              <w:t xml:space="preserve">, multi-level Otsu </w:t>
            </w:r>
            <w:hyperlink w:history="1" w:anchor="bm_ref_35">
              <w:r>
                <w:rPr>
                  <w:color w:val="2A78D6"/>
                  <w:sz w:val="19"/>
                  <w:szCs w:val="19"/>
                </w:rPr>
                <w:t xml:space="preserve">[35]</w:t>
              </w:r>
            </w:hyperlink>
            <w:r>
              <w:rPr>
                <w:sz w:val="19"/>
                <w:szCs w:val="19"/>
              </w:rPr>
              <w:t xml:space="preserve">, NDVI/NDWI, change vector analysis, phase correlation, connected components</w:t>
            </w:r>
          </w:p>
        </w:tc>
        <w:tc>
          <w:tcPr>
            <w:tcW w:type="dxa" w:w="4386"/>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Transparent, fast (~90 ms), and physically correct for SAR</w:t>
            </w:r>
          </w:p>
        </w:tc>
      </w:tr>
      <w:tr>
        <w:trPr>
          <w:cantSplit/>
        </w:trPr>
        <w:tc>
          <w:tcPr>
            <w:tcW w:type="dxa" w:w="175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Geospatial</w:t>
            </w:r>
          </w:p>
        </w:tc>
        <w:tc>
          <w:tcPr>
            <w:tcW w:type="dxa" w:w="3606"/>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GeoTIFF/TIFF reader with CRS + geotransform; WGS84/UTM conversion; GeoJSON (EPSG:4326)</w:t>
            </w:r>
          </w:p>
        </w:tc>
        <w:tc>
          <w:tcPr>
            <w:tcW w:type="dxa" w:w="4386"/>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Every box becomes lat/long; areas in hectares; opens in QGIS</w:t>
            </w:r>
          </w:p>
        </w:tc>
      </w:tr>
      <w:tr>
        <w:trPr>
          <w:cantSplit/>
        </w:trPr>
        <w:tc>
          <w:tcPr>
            <w:tcW w:type="dxa" w:w="175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Agent</w:t>
            </w:r>
          </w:p>
        </w:tc>
        <w:tc>
          <w:tcPr>
            <w:tcW w:type="dxa" w:w="3606"/>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Plain Python router + declarative registry (ADR-004)</w:t>
            </w:r>
          </w:p>
        </w:tc>
        <w:tc>
          <w:tcPr>
            <w:tcW w:type="dxa" w:w="4386"/>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The requirement is constraint, not capability; explainable on one slide; no framework drift</w:t>
            </w:r>
          </w:p>
        </w:tc>
      </w:tr>
      <w:tr>
        <w:trPr>
          <w:cantSplit/>
        </w:trPr>
        <w:tc>
          <w:tcPr>
            <w:tcW w:type="dxa" w:w="175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Backend API</w:t>
            </w:r>
          </w:p>
        </w:tc>
        <w:tc>
          <w:tcPr>
            <w:tcW w:type="dxa" w:w="3606"/>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Python, FastAPI, uvicorn</w:t>
            </w:r>
          </w:p>
        </w:tc>
        <w:tc>
          <w:tcPr>
            <w:tcW w:type="dxa" w:w="4386"/>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Same language as the ML stack; typed JSON contract</w:t>
            </w:r>
          </w:p>
        </w:tc>
      </w:tr>
      <w:tr>
        <w:trPr>
          <w:cantSplit/>
        </w:trPr>
        <w:tc>
          <w:tcPr>
            <w:tcW w:type="dxa" w:w="175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Web application</w:t>
            </w:r>
          </w:p>
        </w:tc>
        <w:tc>
          <w:tcPr>
            <w:tcW w:type="dxa" w:w="3606"/>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React 19, TypeScript 6, Vite 8, Tailwind CSS 4, three.js, geotiff.js</w:t>
            </w:r>
          </w:p>
        </w:tc>
        <w:tc>
          <w:tcPr>
            <w:tcW w:type="dxa" w:w="4386"/>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Fast, typed UI; 3D modality stack to pull optical, SAR and fusion layers apart</w:t>
            </w:r>
          </w:p>
        </w:tc>
      </w:tr>
      <w:tr>
        <w:trPr>
          <w:cantSplit/>
        </w:trPr>
        <w:tc>
          <w:tcPr>
            <w:tcW w:type="dxa" w:w="175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Storage</w:t>
            </w:r>
          </w:p>
        </w:tc>
        <w:tc>
          <w:tcPr>
            <w:tcW w:type="dxa" w:w="3606"/>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SQLite today; PostgreSQL + PostGIS and S3-compatible object storage at scale (ADR-009)</w:t>
            </w:r>
          </w:p>
        </w:tc>
        <w:tc>
          <w:tcPr>
            <w:tcW w:type="dxa" w:w="4386"/>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Spatial queries (“every change in this district”) come free; rasters never stored as blobs</w:t>
            </w:r>
          </w:p>
        </w:tc>
      </w:tr>
      <w:tr>
        <w:trPr>
          <w:cantSplit/>
        </w:trPr>
        <w:tc>
          <w:tcPr>
            <w:tcW w:type="dxa" w:w="175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Quality</w:t>
            </w:r>
          </w:p>
        </w:tc>
        <w:tc>
          <w:tcPr>
            <w:tcW w:type="dxa" w:w="3606"/>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49-check self-test, headless UI verification, stored prediction rows</w:t>
            </w:r>
          </w:p>
        </w:tc>
        <w:tc>
          <w:tcPr>
            <w:tcW w:type="dxa" w:w="4386"/>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Every number recomputable; regressions caught before a demo</w:t>
            </w:r>
          </w:p>
        </w:tc>
      </w:tr>
    </w:tbl>
    <w:p>
      <w:pPr>
        <w:pStyle w:val="Heading1"/>
        <w:pageBreakBefore/>
        <w:pBdr>
          <w:bottom w:val="single" w:color="0B2545" w:sz="18" w:space="4"/>
        </w:pBdr>
      </w:pPr>
      <w:bookmarkStart w:name="bm_webapp" w:id="1"/>
      <w:r>
        <w:t xml:space="preserve">7   The Web Application</w:t>
      </w:r>
      <w:bookmarkEnd w:id="1"/>
    </w:p>
    <w:p>
      <w:pPr>
        <w:jc w:val="both"/>
      </w:pPr>
      <w:r>
        <w:t xml:space="preserve">The workstation is laid out as a map table: inputs and demo scenes on the left, the imagery plate in the centre, and the answer, evidence and execution trace on the right. A permanent disclosure bar states which scenes are synthetic.</w:t>
      </w:r>
    </w:p>
    <w:p>
      <w:pPr>
        <w:keepNext/>
        <w:spacing w:after="0" w:before="120"/>
        <w:jc w:val="center"/>
      </w:pPr>
      <w:r>
        <w:drawing>
          <wp:inline distT="0" distB="0" distL="0" distR="0">
            <wp:extent cx="6181725"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181725" cy="3629025"/>
                    </a:xfrm>
                    <a:prstGeom prst="rect">
                      <a:avLst/>
                    </a:prstGeom>
                  </pic:spPr>
                </pic:pic>
              </a:graphicData>
            </a:graphic>
          </wp:inline>
        </w:drawing>
      </w:r>
    </w:p>
    <w:p>
      <w:pPr>
        <w:keepLines/>
        <w:spacing w:after="220" w:before="60"/>
        <w:jc w:val="center"/>
      </w:pPr>
      <w:r>
        <w:rPr>
          <w:b/>
          <w:bCs/>
          <w:color w:val="0B2545"/>
          <w:sz w:val="17"/>
          <w:szCs w:val="17"/>
        </w:rPr>
        <w:t xml:space="preserve">Figure 24. </w:t>
      </w:r>
      <w:r>
        <w:rPr>
          <w:i/>
          <w:iCs/>
          <w:color w:val="6B7280"/>
          <w:sz w:val="17"/>
          <w:szCs w:val="17"/>
        </w:rPr>
        <w:t xml:space="preserve">Landing page: “From raw imagery to answers you can check.”</w:t>
      </w:r>
    </w:p>
    <w:p>
      <w:pPr>
        <w:keepNext/>
        <w:spacing w:after="0" w:before="120"/>
        <w:jc w:val="center"/>
      </w:pPr>
      <w:r>
        <w:drawing>
          <wp:inline distT="0" distB="0" distL="0" distR="0">
            <wp:extent cx="6181725"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181725" cy="3629025"/>
                    </a:xfrm>
                    <a:prstGeom prst="rect">
                      <a:avLst/>
                    </a:prstGeom>
                  </pic:spPr>
                </pic:pic>
              </a:graphicData>
            </a:graphic>
          </wp:inline>
        </w:drawing>
      </w:r>
    </w:p>
    <w:p>
      <w:pPr>
        <w:keepLines/>
        <w:spacing w:after="220" w:before="60"/>
        <w:jc w:val="center"/>
      </w:pPr>
      <w:r>
        <w:rPr>
          <w:b/>
          <w:bCs/>
          <w:color w:val="0B2545"/>
          <w:sz w:val="17"/>
          <w:szCs w:val="17"/>
        </w:rPr>
        <w:t xml:space="preserve">Figure 25. </w:t>
      </w:r>
      <w:r>
        <w:rPr>
          <w:i/>
          <w:iCs/>
          <w:color w:val="6B7280"/>
          <w:sz w:val="17"/>
          <w:szCs w:val="17"/>
        </w:rPr>
        <w:t xml:space="preserve">Cross-modal query: SAR-detected built-up areas, the area recovered beneath cloud, confidence 0.93 and the execution trace.</w:t>
      </w:r>
    </w:p>
    <w:p>
      <w:pPr>
        <w:keepNext/>
        <w:spacing w:after="0" w:before="120"/>
        <w:jc w:val="center"/>
      </w:pPr>
      <w:r>
        <w:drawing>
          <wp:inline distT="0" distB="0" distL="0" distR="0">
            <wp:extent cx="6181725"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181725" cy="3629025"/>
                    </a:xfrm>
                    <a:prstGeom prst="rect">
                      <a:avLst/>
                    </a:prstGeom>
                  </pic:spPr>
                </pic:pic>
              </a:graphicData>
            </a:graphic>
          </wp:inline>
        </w:drawing>
      </w:r>
    </w:p>
    <w:p>
      <w:pPr>
        <w:keepLines/>
        <w:spacing w:after="220" w:before="60"/>
        <w:jc w:val="center"/>
      </w:pPr>
      <w:r>
        <w:rPr>
          <w:b/>
          <w:bCs/>
          <w:color w:val="0B2545"/>
          <w:sz w:val="17"/>
          <w:szCs w:val="17"/>
        </w:rPr>
        <w:t xml:space="preserve">Figure 26. </w:t>
      </w:r>
      <w:r>
        <w:rPr>
          <w:i/>
          <w:iCs/>
          <w:color w:val="6B7280"/>
          <w:sz w:val="17"/>
          <w:szCs w:val="17"/>
        </w:rPr>
        <w:t xml:space="preserve">The refusal: a change question with an optical + SAR pair loaded. The compatibility check fails, no model runs, and the system states what is missing and what to upload.</w:t>
      </w:r>
    </w:p>
    <w:p>
      <w:pPr>
        <w:keepNext/>
        <w:spacing w:after="0" w:before="120"/>
        <w:jc w:val="center"/>
      </w:pPr>
      <w:r>
        <w:drawing>
          <wp:inline distT="0" distB="0" distL="0" distR="0">
            <wp:extent cx="6181725"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181725" cy="3629025"/>
                    </a:xfrm>
                    <a:prstGeom prst="rect">
                      <a:avLst/>
                    </a:prstGeom>
                  </pic:spPr>
                </pic:pic>
              </a:graphicData>
            </a:graphic>
          </wp:inline>
        </w:drawing>
      </w:r>
    </w:p>
    <w:p>
      <w:pPr>
        <w:keepLines/>
        <w:spacing w:after="220" w:before="60"/>
        <w:jc w:val="center"/>
      </w:pPr>
      <w:r>
        <w:rPr>
          <w:b/>
          <w:bCs/>
          <w:color w:val="0B2545"/>
          <w:sz w:val="17"/>
          <w:szCs w:val="17"/>
        </w:rPr>
        <w:t xml:space="preserve">Figure 27. </w:t>
      </w:r>
      <w:r>
        <w:rPr>
          <w:i/>
          <w:iCs/>
          <w:color w:val="6B7280"/>
          <w:sz w:val="17"/>
          <w:szCs w:val="17"/>
        </w:rPr>
        <w:t xml:space="preserve">Bi-temporal change: 10 changed regions covering 1,663 ha, a mean NDVI drop consistent with construction, built-up share up 4.37 percentage points.</w:t>
      </w:r>
    </w:p>
    <w:p>
      <w:pPr>
        <w:keepNext/>
        <w:spacing w:after="0" w:before="120"/>
        <w:jc w:val="center"/>
      </w:pPr>
      <w:r>
        <w:drawing>
          <wp:inline distT="0" distB="0" distL="0" distR="0">
            <wp:extent cx="6181725"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181725" cy="3629025"/>
                    </a:xfrm>
                    <a:prstGeom prst="rect">
                      <a:avLst/>
                    </a:prstGeom>
                  </pic:spPr>
                </pic:pic>
              </a:graphicData>
            </a:graphic>
          </wp:inline>
        </w:drawing>
      </w:r>
    </w:p>
    <w:p>
      <w:pPr>
        <w:keepLines/>
        <w:spacing w:after="220" w:before="60"/>
        <w:jc w:val="center"/>
      </w:pPr>
      <w:r>
        <w:rPr>
          <w:b/>
          <w:bCs/>
          <w:color w:val="0B2545"/>
          <w:sz w:val="17"/>
          <w:szCs w:val="17"/>
        </w:rPr>
        <w:t xml:space="preserve">Figure 28. </w:t>
      </w:r>
      <w:r>
        <w:rPr>
          <w:i/>
          <w:iCs/>
          <w:color w:val="6B7280"/>
          <w:sz w:val="17"/>
          <w:szCs w:val="17"/>
        </w:rPr>
        <w:t xml:space="preserve">The 3D modality stack: optical, fusion and SAR plates pulled apart to show what optical loses under cloud and SAR recovers.</w:t>
      </w:r>
    </w:p>
    <w:p>
      <w:pPr>
        <w:pStyle w:val="Heading1"/>
        <w:pageBreakBefore/>
        <w:pBdr>
          <w:bottom w:val="single" w:color="0B2545" w:sz="18" w:space="4"/>
        </w:pBdr>
      </w:pPr>
      <w:bookmarkStart w:name="bm_results" w:id="1"/>
      <w:r>
        <w:t xml:space="preserve">8   Evaluation and Results</w:t>
      </w:r>
      <w:bookmarkEnd w:id="1"/>
    </w:p>
    <w:p>
      <w:pPr>
        <w:pStyle w:val="Heading2"/>
      </w:pPr>
      <w:bookmarkStart w:name="bm_res_m1" w:id="1"/>
      <w:r>
        <w:t xml:space="preserve">8.1   Remote-sensing adaptation (M1)</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48"/>
        <w:gridCol w:w="3898"/>
      </w:tblGrid>
      <w:tr>
        <w:trPr>
          <w:tblHeader/>
        </w:trPr>
        <w:tc>
          <w:tcPr>
            <w:tcW w:type="dxa" w:w="5848"/>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Measurement</w:t>
            </w:r>
          </w:p>
        </w:tc>
        <w:tc>
          <w:tcPr>
            <w:tcW w:type="dxa" w:w="3898"/>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Value</w:t>
            </w:r>
          </w:p>
        </w:tc>
      </w:tr>
      <w:tr>
        <w:trPr>
          <w:cantSplit/>
        </w:trPr>
        <w:tc>
          <w:tcPr>
            <w:tcW w:type="dxa" w:w="5848"/>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VRSBench VQA, zero-shot (n = 2,000, held-out)</w:t>
            </w:r>
          </w:p>
        </w:tc>
        <w:tc>
          <w:tcPr>
            <w:tcW w:type="dxa" w:w="3898"/>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0.5270</w:t>
            </w:r>
          </w:p>
        </w:tc>
      </w:tr>
      <w:tr>
        <w:trPr>
          <w:cantSplit/>
        </w:trPr>
        <w:tc>
          <w:tcPr>
            <w:tcW w:type="dxa" w:w="5848"/>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VRSBench VQA, adapted — rung 2 (shipped)</w:t>
            </w:r>
          </w:p>
        </w:tc>
        <w:tc>
          <w:tcPr>
            <w:tcW w:type="dxa" w:w="3898"/>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b/>
                <w:bCs/>
                <w:sz w:val="19"/>
                <w:szCs w:val="19"/>
              </w:rPr>
              <w:t xml:space="preserve">0.6600</w:t>
            </w:r>
          </w:p>
        </w:tc>
      </w:tr>
      <w:tr>
        <w:trPr>
          <w:cantSplit/>
        </w:trPr>
        <w:tc>
          <w:tcPr>
            <w:tcW w:type="dxa" w:w="5848"/>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Adaptation gain</w:t>
            </w:r>
          </w:p>
        </w:tc>
        <w:tc>
          <w:tcPr>
            <w:tcW w:type="dxa" w:w="3898"/>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b/>
                <w:bCs/>
                <w:sz w:val="19"/>
                <w:szCs w:val="19"/>
              </w:rPr>
              <w:t xml:space="preserve">+13.30 points</w:t>
            </w:r>
          </w:p>
        </w:tc>
      </w:tr>
      <w:tr>
        <w:trPr>
          <w:cantSplit/>
        </w:trPr>
        <w:tc>
          <w:tcPr>
            <w:tcW w:type="dxa" w:w="5848"/>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Paired McNemar test</w:t>
            </w:r>
          </w:p>
        </w:tc>
        <w:tc>
          <w:tcPr>
            <w:tcW w:type="dxa" w:w="3898"/>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χ² = 155.4, p = 1.2 × 10⁻³⁵</w:t>
            </w:r>
          </w:p>
        </w:tc>
      </w:tr>
      <w:tr>
        <w:trPr>
          <w:cantSplit/>
        </w:trPr>
        <w:tc>
          <w:tcPr>
            <w:tcW w:type="dxa" w:w="5848"/>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Train/val image overlap</w:t>
            </w:r>
          </w:p>
        </w:tc>
        <w:tc>
          <w:tcPr>
            <w:tcW w:type="dxa" w:w="3898"/>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0 of 20,264 / 9,350</w:t>
            </w:r>
          </w:p>
        </w:tc>
      </w:tr>
      <w:tr>
        <w:trPr>
          <w:cantSplit/>
        </w:trPr>
        <w:tc>
          <w:tcPr>
            <w:tcW w:type="dxa" w:w="5848"/>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Latency (Kaggle T4, 4-bit)</w:t>
            </w:r>
          </w:p>
        </w:tc>
        <w:tc>
          <w:tcPr>
            <w:tcW w:type="dxa" w:w="3898"/>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~0.8–0.9 s per item (p50)</w:t>
            </w:r>
          </w:p>
        </w:tc>
      </w:tr>
      <w:tr>
        <w:trPr>
          <w:cantSplit/>
        </w:trPr>
        <w:tc>
          <w:tcPr>
            <w:tcW w:type="dxa" w:w="5848"/>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End-to-end on real VRSBench photos (38 questions)</w:t>
            </w:r>
          </w:p>
        </w:tc>
        <w:tc>
          <w:tcPr>
            <w:tcW w:type="dxa" w:w="3898"/>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0.605 exact match (small sample; diagnostic)</w:t>
            </w:r>
          </w:p>
        </w:tc>
      </w:tr>
    </w:tbl>
    <w:p>
      <w:pPr>
        <w:spacing w:after="160"/>
      </w:pPr>
    </w:p>
    <w:p>
      <w:pPr>
        <w:pStyle w:val="Heading2"/>
      </w:pPr>
      <w:bookmarkStart w:name="bm_res_classical" w:id="1"/>
      <w:r>
        <w:t xml:space="preserve">8.2   Classical specialists — against ground truth the pipeline never reads</w:t>
      </w:r>
      <w:bookmarkEnd w:id="1"/>
    </w:p>
    <w:p>
      <w:pPr>
        <w:jc w:val="both"/>
      </w:pPr>
      <w:r>
        <w:t xml:space="preserve">Reproduce with </w:t>
      </w:r>
      <w:r>
        <w:rPr>
          <w:rFonts w:ascii="Consolas" w:cs="Consolas" w:eastAsia="Consolas" w:hAnsi="Consolas"/>
          <w:sz w:val="19"/>
          <w:szCs w:val="19"/>
          <w:shd w:fill="EEF1F5" w:color="auto" w:val="clear"/>
        </w:rPr>
        <w:t xml:space="preserve">python -m satquery.cli eval</w:t>
      </w:r>
      <w:r>
        <w:t xml:space="preserve">. These are measured on </w:t>
      </w:r>
      <w:r>
        <w:rPr>
          <w:b/>
          <w:bCs/>
        </w:rPr>
        <w:t xml:space="preserve">synthetic test scenes</w:t>
      </w:r>
      <w:r>
        <w:t xml:space="preserve">, so they show that each method works on the populations it was designed for — not accuracy on real Cartosat imagery.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29"/>
        <w:gridCol w:w="1364"/>
        <w:gridCol w:w="1364"/>
        <w:gridCol w:w="4289"/>
      </w:tblGrid>
      <w:tr>
        <w:trPr>
          <w:tblHeader/>
        </w:trPr>
        <w:tc>
          <w:tcPr>
            <w:tcW w:type="dxa" w:w="2729"/>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Task</w:t>
            </w:r>
          </w:p>
        </w:tc>
        <w:tc>
          <w:tcPr>
            <w:tcW w:type="dxa" w:w="1364"/>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Metric</w:t>
            </w:r>
          </w:p>
        </w:tc>
        <w:tc>
          <w:tcPr>
            <w:tcW w:type="dxa" w:w="1364"/>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Value</w:t>
            </w:r>
          </w:p>
        </w:tc>
        <w:tc>
          <w:tcPr>
            <w:tcW w:type="dxa" w:w="4289"/>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Meaning</w:t>
            </w:r>
          </w:p>
        </w:tc>
      </w:tr>
      <w:tr>
        <w:trPr>
          <w:cantSplit/>
        </w:trPr>
        <w:tc>
          <w:tcPr>
            <w:tcW w:type="dxa" w:w="272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Water grounding</w:t>
            </w:r>
          </w:p>
        </w:tc>
        <w:tc>
          <w:tcPr>
            <w:tcW w:type="dxa" w:w="136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IoU</w:t>
            </w:r>
          </w:p>
        </w:tc>
        <w:tc>
          <w:tcPr>
            <w:tcW w:type="dxa" w:w="136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1.0000</w:t>
            </w:r>
          </w:p>
        </w:tc>
        <w:tc>
          <w:tcPr>
            <w:tcW w:type="dxa" w:w="428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Outline matches the true water area</w:t>
            </w:r>
          </w:p>
        </w:tc>
      </w:tr>
      <w:tr>
        <w:trPr>
          <w:cantSplit/>
        </w:trPr>
        <w:tc>
          <w:tcPr>
            <w:tcW w:type="dxa" w:w="272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Vegetation grounding</w:t>
            </w:r>
          </w:p>
        </w:tc>
        <w:tc>
          <w:tcPr>
            <w:tcW w:type="dxa" w:w="136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IoU</w:t>
            </w:r>
          </w:p>
        </w:tc>
        <w:tc>
          <w:tcPr>
            <w:tcW w:type="dxa" w:w="136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0.9958</w:t>
            </w:r>
          </w:p>
        </w:tc>
        <w:tc>
          <w:tcPr>
            <w:tcW w:type="dxa" w:w="428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Near-perfect overlap</w:t>
            </w:r>
          </w:p>
        </w:tc>
      </w:tr>
      <w:tr>
        <w:trPr>
          <w:cantSplit/>
        </w:trPr>
        <w:tc>
          <w:tcPr>
            <w:tcW w:type="dxa" w:w="272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SAR built-up detection</w:t>
            </w:r>
          </w:p>
        </w:tc>
        <w:tc>
          <w:tcPr>
            <w:tcW w:type="dxa" w:w="136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F1</w:t>
            </w:r>
          </w:p>
        </w:tc>
        <w:tc>
          <w:tcPr>
            <w:tcW w:type="dxa" w:w="136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0.9450</w:t>
            </w:r>
          </w:p>
        </w:tc>
        <w:tc>
          <w:tcPr>
            <w:tcW w:type="dxa" w:w="428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Radar finds built-up area accurately</w:t>
            </w:r>
          </w:p>
        </w:tc>
      </w:tr>
      <w:tr>
        <w:trPr>
          <w:cantSplit/>
        </w:trPr>
        <w:tc>
          <w:tcPr>
            <w:tcW w:type="dxa" w:w="272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Bi-temporal change</w:t>
            </w:r>
          </w:p>
        </w:tc>
        <w:tc>
          <w:tcPr>
            <w:tcW w:type="dxa" w:w="136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F1</w:t>
            </w:r>
          </w:p>
        </w:tc>
        <w:tc>
          <w:tcPr>
            <w:tcW w:type="dxa" w:w="136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0.7698</w:t>
            </w:r>
          </w:p>
        </w:tc>
        <w:tc>
          <w:tcPr>
            <w:tcW w:type="dxa" w:w="428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Change found, with errors at boundaries</w:t>
            </w:r>
          </w:p>
        </w:tc>
      </w:tr>
      <w:tr>
        <w:trPr>
          <w:cantSplit/>
        </w:trPr>
        <w:tc>
          <w:tcPr>
            <w:tcW w:type="dxa" w:w="272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Calibration</w:t>
            </w:r>
          </w:p>
        </w:tc>
        <w:tc>
          <w:tcPr>
            <w:tcW w:type="dxa" w:w="136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ECE</w:t>
            </w:r>
          </w:p>
        </w:tc>
        <w:tc>
          <w:tcPr>
            <w:tcW w:type="dxa" w:w="136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0.0328</w:t>
            </w:r>
          </w:p>
        </w:tc>
        <w:tc>
          <w:tcPr>
            <w:tcW w:type="dxa" w:w="428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Stated confidence matches accuracy (n = 4 bins; small)</w:t>
            </w:r>
          </w:p>
        </w:tc>
      </w:tr>
      <w:tr>
        <w:trPr>
          <w:cantSplit/>
        </w:trPr>
        <w:tc>
          <w:tcPr>
            <w:tcW w:type="dxa" w:w="272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Cross-modal query</w:t>
            </w:r>
          </w:p>
        </w:tc>
        <w:tc>
          <w:tcPr>
            <w:tcW w:type="dxa" w:w="136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Latency</w:t>
            </w:r>
          </w:p>
        </w:tc>
        <w:tc>
          <w:tcPr>
            <w:tcW w:type="dxa" w:w="136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~64–90 ms</w:t>
            </w:r>
          </w:p>
        </w:tc>
        <w:tc>
          <w:tcPr>
            <w:tcW w:type="dxa" w:w="428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At 512 × 512 px, CPU</w:t>
            </w:r>
          </w:p>
        </w:tc>
      </w:tr>
      <w:tr>
        <w:trPr>
          <w:cantSplit/>
        </w:trPr>
        <w:tc>
          <w:tcPr>
            <w:tcW w:type="dxa" w:w="272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Built-up structures recovered under cloud</w:t>
            </w:r>
          </w:p>
        </w:tc>
        <w:tc>
          <w:tcPr>
            <w:tcW w:type="dxa" w:w="136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share</w:t>
            </w:r>
          </w:p>
        </w:tc>
        <w:tc>
          <w:tcPr>
            <w:tcW w:type="dxa" w:w="136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57.0 %</w:t>
            </w:r>
          </w:p>
        </w:tc>
        <w:tc>
          <w:tcPr>
            <w:tcW w:type="dxa" w:w="428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Only possible with SAR + optical together</w:t>
            </w:r>
          </w:p>
        </w:tc>
      </w:tr>
    </w:tbl>
    <w:p>
      <w:pPr>
        <w:spacing w:after="160"/>
      </w:pPr>
    </w:p>
    <w:p>
      <w:pPr>
        <w:pStyle w:val="Heading2"/>
      </w:pPr>
      <w:bookmarkStart w:name="bm_res_ablation" w:id="1"/>
      <w:r>
        <w:t xml:space="preserve">8.3   Ablation — what each layer adds</w:t>
      </w:r>
      <w:bookmarkEnd w:id="1"/>
    </w:p>
    <w:p>
      <w:pPr>
        <w:jc w:val="both"/>
      </w:pPr>
      <w:r>
        <w:t xml:space="preserve">An ablation switches parts on one at a time to show what each contributes. All five rows are classical computer vision (no neural model is loaded in any row), and the rows are named for what actually runs.</w:t>
      </w:r>
    </w:p>
    <w:p>
      <w:pPr>
        <w:keepNext/>
        <w:spacing w:after="0" w:before="120"/>
        <w:jc w:val="center"/>
      </w:pPr>
      <w:r>
        <w:drawing>
          <wp:inline distT="0" distB="0" distL="0" distR="0">
            <wp:extent cx="6181725"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181725" cy="2600325"/>
                    </a:xfrm>
                    <a:prstGeom prst="rect">
                      <a:avLst/>
                    </a:prstGeom>
                  </pic:spPr>
                </pic:pic>
              </a:graphicData>
            </a:graphic>
          </wp:inline>
        </w:drawing>
      </w:r>
    </w:p>
    <w:p>
      <w:pPr>
        <w:keepLines/>
        <w:spacing w:after="220" w:before="60"/>
        <w:jc w:val="center"/>
      </w:pPr>
      <w:r>
        <w:rPr>
          <w:b/>
          <w:bCs/>
          <w:color w:val="0B2545"/>
          <w:sz w:val="17"/>
          <w:szCs w:val="17"/>
        </w:rPr>
        <w:t xml:space="preserve">Figure 29. </w:t>
      </w:r>
      <w:r>
        <w:rPr>
          <w:i/>
          <w:iCs/>
          <w:color w:val="6B7280"/>
          <w:sz w:val="17"/>
          <w:szCs w:val="17"/>
        </w:rPr>
        <w:t xml:space="preserve">Ablation A–E on the same scene. Capability = 0.50 × mean segmentation F1 + 0.25 × router accuracy + 0.25 × cross-modal recovery present — a composite defined by this project, not a standard metric.</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2"/>
        <w:gridCol w:w="3703"/>
        <w:gridCol w:w="1267"/>
        <w:gridCol w:w="1170"/>
        <w:gridCol w:w="1364"/>
        <w:gridCol w:w="1560"/>
      </w:tblGrid>
      <w:tr>
        <w:trPr>
          <w:tblHeader/>
        </w:trPr>
        <w:tc>
          <w:tcPr>
            <w:tcW w:type="dxa" w:w="682"/>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Row</w:t>
            </w:r>
          </w:p>
        </w:tc>
        <w:tc>
          <w:tcPr>
            <w:tcW w:type="dxa" w:w="3703"/>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Configuration</w:t>
            </w:r>
          </w:p>
        </w:tc>
        <w:tc>
          <w:tcPr>
            <w:tcW w:type="dxa" w:w="1267"/>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Seg. F1</w:t>
            </w:r>
          </w:p>
        </w:tc>
        <w:tc>
          <w:tcPr>
            <w:tcW w:type="dxa" w:w="1170"/>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Router</w:t>
            </w:r>
          </w:p>
        </w:tc>
        <w:tc>
          <w:tcPr>
            <w:tcW w:type="dxa" w:w="1364"/>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Cross-modal</w:t>
            </w:r>
          </w:p>
        </w:tc>
        <w:tc>
          <w:tcPr>
            <w:tcW w:type="dxa" w:w="1560"/>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Capability</w:t>
            </w:r>
          </w:p>
        </w:tc>
      </w:tr>
      <w:tr>
        <w:trPr>
          <w:cantSplit/>
        </w:trPr>
        <w:tc>
          <w:tcPr>
            <w:tcW w:type="dxa" w:w="682"/>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A</w:t>
            </w:r>
          </w:p>
        </w:tc>
        <w:tc>
          <w:tcPr>
            <w:tcW w:type="dxa" w:w="3703"/>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Panchromatic brightness only</w:t>
            </w:r>
          </w:p>
        </w:tc>
        <w:tc>
          <w:tcPr>
            <w:tcW w:type="dxa" w:w="1267"/>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0.1711</w:t>
            </w:r>
          </w:p>
        </w:tc>
        <w:tc>
          <w:tcPr>
            <w:tcW w:type="dxa" w:w="1170"/>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w:t>
            </w:r>
          </w:p>
        </w:tc>
        <w:tc>
          <w:tcPr>
            <w:tcW w:type="dxa" w:w="136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w:t>
            </w:r>
          </w:p>
        </w:tc>
        <w:tc>
          <w:tcPr>
            <w:tcW w:type="dxa" w:w="1560"/>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0.0856</w:t>
            </w:r>
          </w:p>
        </w:tc>
      </w:tr>
      <w:tr>
        <w:trPr>
          <w:cantSplit/>
        </w:trPr>
        <w:tc>
          <w:tcPr>
            <w:tcW w:type="dxa" w:w="682"/>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B</w:t>
            </w:r>
          </w:p>
        </w:tc>
        <w:tc>
          <w:tcPr>
            <w:tcW w:type="dxa" w:w="3703"/>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 spectral indices</w:t>
            </w:r>
          </w:p>
        </w:tc>
        <w:tc>
          <w:tcPr>
            <w:tcW w:type="dxa" w:w="1267"/>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0.2109</w:t>
            </w:r>
          </w:p>
        </w:tc>
        <w:tc>
          <w:tcPr>
            <w:tcW w:type="dxa" w:w="1170"/>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w:t>
            </w:r>
          </w:p>
        </w:tc>
        <w:tc>
          <w:tcPr>
            <w:tcW w:type="dxa" w:w="136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w:t>
            </w:r>
          </w:p>
        </w:tc>
        <w:tc>
          <w:tcPr>
            <w:tcW w:type="dxa" w:w="1560"/>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0.1055</w:t>
            </w:r>
          </w:p>
        </w:tc>
      </w:tr>
      <w:tr>
        <w:trPr>
          <w:cantSplit/>
        </w:trPr>
        <w:tc>
          <w:tcPr>
            <w:tcW w:type="dxa" w:w="682"/>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C</w:t>
            </w:r>
          </w:p>
        </w:tc>
        <w:tc>
          <w:tcPr>
            <w:tcW w:type="dxa" w:w="3703"/>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 specialists, no router</w:t>
            </w:r>
          </w:p>
        </w:tc>
        <w:tc>
          <w:tcPr>
            <w:tcW w:type="dxa" w:w="1267"/>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0.9240</w:t>
            </w:r>
          </w:p>
        </w:tc>
        <w:tc>
          <w:tcPr>
            <w:tcW w:type="dxa" w:w="1170"/>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w:t>
            </w:r>
          </w:p>
        </w:tc>
        <w:tc>
          <w:tcPr>
            <w:tcW w:type="dxa" w:w="136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w:t>
            </w:r>
          </w:p>
        </w:tc>
        <w:tc>
          <w:tcPr>
            <w:tcW w:type="dxa" w:w="1560"/>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0.4620</w:t>
            </w:r>
          </w:p>
        </w:tc>
      </w:tr>
      <w:tr>
        <w:trPr>
          <w:cantSplit/>
        </w:trPr>
        <w:tc>
          <w:tcPr>
            <w:tcW w:type="dxa" w:w="682"/>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D</w:t>
            </w:r>
          </w:p>
        </w:tc>
        <w:tc>
          <w:tcPr>
            <w:tcW w:type="dxa" w:w="3703"/>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 router</w:t>
            </w:r>
          </w:p>
        </w:tc>
        <w:tc>
          <w:tcPr>
            <w:tcW w:type="dxa" w:w="1267"/>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0.9240</w:t>
            </w:r>
          </w:p>
        </w:tc>
        <w:tc>
          <w:tcPr>
            <w:tcW w:type="dxa" w:w="1170"/>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1.00†</w:t>
            </w:r>
          </w:p>
        </w:tc>
        <w:tc>
          <w:tcPr>
            <w:tcW w:type="dxa" w:w="136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w:t>
            </w:r>
          </w:p>
        </w:tc>
        <w:tc>
          <w:tcPr>
            <w:tcW w:type="dxa" w:w="1560"/>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0.7120</w:t>
            </w:r>
          </w:p>
        </w:tc>
      </w:tr>
      <w:tr>
        <w:trPr>
          <w:cantSplit/>
        </w:trPr>
        <w:tc>
          <w:tcPr>
            <w:tcW w:type="dxa" w:w="682"/>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E</w:t>
            </w:r>
          </w:p>
        </w:tc>
        <w:tc>
          <w:tcPr>
            <w:tcW w:type="dxa" w:w="3703"/>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 evidence fusion and gating</w:t>
            </w:r>
          </w:p>
        </w:tc>
        <w:tc>
          <w:tcPr>
            <w:tcW w:type="dxa" w:w="1267"/>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0.9240</w:t>
            </w:r>
          </w:p>
        </w:tc>
        <w:tc>
          <w:tcPr>
            <w:tcW w:type="dxa" w:w="1170"/>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1.00†</w:t>
            </w:r>
          </w:p>
        </w:tc>
        <w:tc>
          <w:tcPr>
            <w:tcW w:type="dxa" w:w="136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yes</w:t>
            </w:r>
          </w:p>
        </w:tc>
        <w:tc>
          <w:tcPr>
            <w:tcW w:type="dxa" w:w="1560"/>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b/>
                <w:bCs/>
                <w:sz w:val="19"/>
                <w:szCs w:val="19"/>
              </w:rPr>
              <w:t xml:space="preserve">0.9620</w:t>
            </w:r>
          </w:p>
        </w:tc>
      </w:tr>
    </w:tbl>
    <w:p>
      <w:pPr>
        <w:spacing w:after="160"/>
      </w:pPr>
    </w:p>
    <w:p>
      <w:pPr>
        <w:jc w:val="both"/>
      </w:pPr>
      <w:r>
        <w:t xml:space="preserve">† Router accuracy of 1.00 is measured on the same labelled queries the rules were written from, so it reports construction, not generalisation. It is shown only inside this ablation and is </w:t>
      </w:r>
      <w:r>
        <w:rPr>
          <w:b/>
          <w:bCs/>
        </w:rPr>
        <w:t xml:space="preserve">not claimed</w:t>
      </w:r>
      <w:r>
        <w:t xml:space="preserve"> as a result until a held-out paraphrase set exists.</w:t>
      </w:r>
    </w:p>
    <w:p>
      <w:pPr>
        <w:pStyle w:val="Heading2"/>
      </w:pPr>
      <w:bookmarkStart w:name="bm_res_notclaimed" w:id="1"/>
      <w:r>
        <w:t xml:space="preserve">8.4   What we deliberately do not claim</w:t>
      </w:r>
      <w:bookmarkEnd w:id="1"/>
    </w:p>
    <w:p>
      <w:pPr>
        <w:pStyle w:val="ListParagraph"/>
        <w:numPr>
          <w:ilvl w:val="0"/>
          <w:numId w:val="2"/>
        </w:numPr>
      </w:pPr>
      <w:r>
        <w:rPr>
          <w:b/>
          <w:bCs/>
        </w:rPr>
        <w:t xml:space="preserve">Router accuracy on unseen phrasings</w:t>
      </w:r>
      <w:r>
        <w:t xml:space="preserve"> — not yet measured on a held-out set.</w:t>
      </w:r>
    </w:p>
    <w:p>
      <w:pPr>
        <w:pStyle w:val="ListParagraph"/>
        <w:numPr>
          <w:ilvl w:val="0"/>
          <w:numId w:val="2"/>
        </w:numPr>
      </w:pPr>
      <w:r>
        <w:rPr>
          <w:b/>
          <w:bCs/>
        </w:rPr>
        <w:t xml:space="preserve">RSVQA and CDVQA scores</w:t>
      </w:r>
      <w:r>
        <w:t xml:space="preserve"> — no benchmark loader exists yet; these are planned.</w:t>
      </w:r>
    </w:p>
    <w:p>
      <w:pPr>
        <w:pStyle w:val="ListParagraph"/>
        <w:numPr>
          <w:ilvl w:val="0"/>
          <w:numId w:val="2"/>
        </w:numPr>
      </w:pPr>
      <w:r>
        <w:rPr>
          <w:b/>
          <w:bCs/>
        </w:rPr>
        <w:t xml:space="preserve">Accuracy on Cartosat-2S / RISAT</w:t>
      </w:r>
      <w:r>
        <w:t xml:space="preserve"> — that imagery is not publicly available and the ISRO/SAC set is hidden.</w:t>
      </w:r>
    </w:p>
    <w:p>
      <w:pPr>
        <w:pStyle w:val="ListParagraph"/>
        <w:numPr>
          <w:ilvl w:val="0"/>
          <w:numId w:val="2"/>
        </w:numPr>
      </w:pPr>
      <w:r>
        <w:rPr>
          <w:b/>
          <w:bCs/>
        </w:rPr>
        <w:t xml:space="preserve">“Beats GPT-4V”</w:t>
      </w:r>
      <w:r>
        <w:t xml:space="preserve"> — our 0.660 is level with GPT-4V's 0.656 within the confidence interval, on a subset.</w:t>
      </w:r>
    </w:p>
    <w:p>
      <w:pPr>
        <w:pStyle w:val="Heading1"/>
        <w:pageBreakBefore/>
        <w:pBdr>
          <w:bottom w:val="single" w:color="0B2545" w:sz="18" w:space="4"/>
        </w:pBdr>
      </w:pPr>
      <w:bookmarkStart w:name="bm_novelty" w:id="1"/>
      <w:r>
        <w:t xml:space="preserve">9   Novelty and Differentiation</w:t>
      </w:r>
      <w:bookmarkEnd w:id="1"/>
    </w:p>
    <w:p>
      <w:pPr>
        <w:pStyle w:val="Heading2"/>
      </w:pPr>
      <w:bookmarkStart w:name="bm_nov_gap" w:id="1"/>
      <w:r>
        <w:t xml:space="preserve">9.1   The research gap</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6"/>
        <w:gridCol w:w="3119"/>
        <w:gridCol w:w="3411"/>
      </w:tblGrid>
      <w:tr>
        <w:trPr>
          <w:tblHeader/>
        </w:trPr>
        <w:tc>
          <w:tcPr>
            <w:tcW w:type="dxa" w:w="3216"/>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What prior work does</w:t>
            </w:r>
          </w:p>
        </w:tc>
        <w:tc>
          <w:tcPr>
            <w:tcW w:type="dxa" w:w="3119"/>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The measured gap</w:t>
            </w:r>
          </w:p>
        </w:tc>
        <w:tc>
          <w:tcPr>
            <w:tcW w:type="dxa" w:w="3411"/>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What SatQuery AI adds</w:t>
            </w:r>
          </w:p>
        </w:tc>
      </w:tr>
      <w:tr>
        <w:trPr>
          <w:cantSplit/>
        </w:trPr>
        <w:tc>
          <w:tcPr>
            <w:tcW w:type="dxa" w:w="3216"/>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Each benchmark targets one capability in isolation: RSVQA </w:t>
            </w:r>
            <w:hyperlink w:history="1" w:anchor="bm_ref_5">
              <w:r>
                <w:rPr>
                  <w:color w:val="2A78D6"/>
                  <w:sz w:val="19"/>
                  <w:szCs w:val="19"/>
                </w:rPr>
                <w:t xml:space="preserve">[5]</w:t>
              </w:r>
            </w:hyperlink>
            <w:r>
              <w:rPr>
                <w:sz w:val="19"/>
                <w:szCs w:val="19"/>
              </w:rPr>
              <w:t xml:space="preserve"> → question answering; CDVQA </w:t>
            </w:r>
            <w:hyperlink w:history="1" w:anchor="bm_ref_7">
              <w:r>
                <w:rPr>
                  <w:color w:val="2A78D6"/>
                  <w:sz w:val="19"/>
                  <w:szCs w:val="19"/>
                </w:rPr>
                <w:t xml:space="preserve">[7]</w:t>
              </w:r>
            </w:hyperlink>
            <w:r>
              <w:rPr>
                <w:sz w:val="19"/>
                <w:szCs w:val="19"/>
              </w:rPr>
              <w:t xml:space="preserve"> → change detection + VQA; GeoChat </w:t>
            </w:r>
            <w:hyperlink w:history="1" w:anchor="bm_ref_9">
              <w:r>
                <w:rPr>
                  <w:color w:val="2A78D6"/>
                  <w:sz w:val="19"/>
                  <w:szCs w:val="19"/>
                </w:rPr>
                <w:t xml:space="preserve">[9]</w:t>
              </w:r>
            </w:hyperlink>
            <w:r>
              <w:rPr>
                <w:sz w:val="19"/>
                <w:szCs w:val="19"/>
              </w:rPr>
              <w:t xml:space="preserve"> → object grounding.</w:t>
            </w:r>
          </w:p>
        </w:tc>
        <w:tc>
          <w:tcPr>
            <w:tcW w:type="dxa" w:w="311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VRSBench </w:t>
            </w:r>
            <w:hyperlink w:history="1" w:anchor="bm_ref_4">
              <w:r>
                <w:rPr>
                  <w:color w:val="2A78D6"/>
                  <w:sz w:val="19"/>
                  <w:szCs w:val="19"/>
                </w:rPr>
                <w:t xml:space="preserve">[4]</w:t>
              </w:r>
            </w:hyperlink>
            <w:r>
              <w:rPr>
                <w:sz w:val="19"/>
                <w:szCs w:val="19"/>
              </w:rPr>
              <w:t xml:space="preserve"> reports general-purpose VLMs trailing remote-sensing-adapted models on captioning, grounding and VQA.</w:t>
            </w:r>
          </w:p>
        </w:tc>
        <w:tc>
          <w:tcPr>
            <w:tcW w:type="dxa" w:w="3411"/>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b/>
                <w:bCs/>
                <w:sz w:val="19"/>
                <w:szCs w:val="19"/>
              </w:rPr>
              <w:t xml:space="preserve">One natural-language entry point</w:t>
            </w:r>
            <w:r>
              <w:rPr>
                <w:sz w:val="19"/>
                <w:szCs w:val="19"/>
              </w:rPr>
              <w:t xml:space="preserve"> over remote-sensing-adapted specialists, with a </w:t>
            </w:r>
            <w:r>
              <w:rPr>
                <w:b/>
                <w:bCs/>
                <w:sz w:val="19"/>
                <w:szCs w:val="19"/>
              </w:rPr>
              <w:t xml:space="preserve">constrained router</w:t>
            </w:r>
            <w:r>
              <w:rPr>
                <w:sz w:val="19"/>
                <w:szCs w:val="19"/>
              </w:rPr>
              <w:t xml:space="preserve"> and </w:t>
            </w:r>
            <w:r>
              <w:rPr>
                <w:b/>
                <w:bCs/>
                <w:sz w:val="19"/>
                <w:szCs w:val="19"/>
              </w:rPr>
              <w:t xml:space="preserve">geo-referenced, auditable evidence</w:t>
            </w:r>
            <w:r>
              <w:rPr>
                <w:sz w:val="19"/>
                <w:szCs w:val="19"/>
              </w:rPr>
              <w:t xml:space="preserve">.</w:t>
            </w:r>
          </w:p>
        </w:tc>
      </w:tr>
    </w:tbl>
    <w:p>
      <w:pPr>
        <w:spacing w:after="160"/>
      </w:pPr>
    </w:p>
    <w:p>
      <w:pPr>
        <w:pStyle w:val="Heading2"/>
      </w:pPr>
      <w:bookmarkStart w:name="bm_nov_six" w:id="1"/>
      <w:r>
        <w:t xml:space="preserve">9.2   Six differentiators</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7"/>
        <w:gridCol w:w="2631"/>
        <w:gridCol w:w="3898"/>
        <w:gridCol w:w="2730"/>
      </w:tblGrid>
      <w:tr>
        <w:trPr>
          <w:tblHeader/>
        </w:trPr>
        <w:tc>
          <w:tcPr>
            <w:tcW w:type="dxa" w:w="487"/>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w:t>
            </w:r>
          </w:p>
        </w:tc>
        <w:tc>
          <w:tcPr>
            <w:tcW w:type="dxa" w:w="2631"/>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Differentiator</w:t>
            </w:r>
          </w:p>
        </w:tc>
        <w:tc>
          <w:tcPr>
            <w:tcW w:type="dxa" w:w="3898"/>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Why it matters</w:t>
            </w:r>
          </w:p>
        </w:tc>
        <w:tc>
          <w:tcPr>
            <w:tcW w:type="dxa" w:w="2730"/>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How to see it</w:t>
            </w:r>
          </w:p>
        </w:tc>
      </w:tr>
      <w:tr>
        <w:trPr>
          <w:cantSplit/>
        </w:trPr>
        <w:tc>
          <w:tcPr>
            <w:tcW w:type="dxa" w:w="487"/>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1</w:t>
            </w:r>
          </w:p>
        </w:tc>
        <w:tc>
          <w:tcPr>
            <w:tcW w:type="dxa" w:w="2631"/>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b/>
                <w:bCs/>
                <w:sz w:val="19"/>
                <w:szCs w:val="19"/>
              </w:rPr>
              <w:t xml:space="preserve">Refuses impossible questions — no model runs</w:t>
            </w:r>
          </w:p>
        </w:tc>
        <w:tc>
          <w:tcPr>
            <w:tcW w:type="dxa" w:w="3898"/>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Proves validation is real, not decorative; most systems answer anyway.</w:t>
            </w:r>
          </w:p>
        </w:tc>
        <w:tc>
          <w:tcPr>
            <w:tcW w:type="dxa" w:w="2730"/>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One image + “what changed?”</w:t>
            </w:r>
          </w:p>
        </w:tc>
      </w:tr>
      <w:tr>
        <w:trPr>
          <w:cantSplit/>
        </w:trPr>
        <w:tc>
          <w:tcPr>
            <w:tcW w:type="dxa" w:w="487"/>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2</w:t>
            </w:r>
          </w:p>
        </w:tc>
        <w:tc>
          <w:tcPr>
            <w:tcW w:type="dxa" w:w="2631"/>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b/>
                <w:bCs/>
                <w:sz w:val="19"/>
                <w:szCs w:val="19"/>
              </w:rPr>
              <w:t xml:space="preserve">Sees under clouds</w:t>
            </w:r>
            <w:r>
              <w:rPr>
                <w:sz w:val="19"/>
                <w:szCs w:val="19"/>
              </w:rPr>
              <w:t xml:space="preserve"> with radar + optical</w:t>
            </w:r>
          </w:p>
        </w:tc>
        <w:tc>
          <w:tcPr>
            <w:tcW w:type="dxa" w:w="3898"/>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Makes R4's “complementary information” a number in hectares.</w:t>
            </w:r>
          </w:p>
        </w:tc>
        <w:tc>
          <w:tcPr>
            <w:tcW w:type="dxa" w:w="2730"/>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Cross-modal query; pull the 3D stack apart</w:t>
            </w:r>
          </w:p>
        </w:tc>
      </w:tr>
      <w:tr>
        <w:trPr>
          <w:cantSplit/>
        </w:trPr>
        <w:tc>
          <w:tcPr>
            <w:tcW w:type="dxa" w:w="487"/>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3</w:t>
            </w:r>
          </w:p>
        </w:tc>
        <w:tc>
          <w:tcPr>
            <w:tcW w:type="dxa" w:w="2631"/>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b/>
                <w:bCs/>
                <w:sz w:val="19"/>
                <w:szCs w:val="19"/>
              </w:rPr>
              <w:t xml:space="preserve">Facts from vision, words from language</w:t>
            </w:r>
            <w:r>
              <w:rPr>
                <w:sz w:val="19"/>
                <w:szCs w:val="19"/>
              </w:rPr>
              <w:t xml:space="preserve"> — enforced in code</w:t>
            </w:r>
          </w:p>
        </w:tc>
        <w:tc>
          <w:tcPr>
            <w:tcW w:type="dxa" w:w="3898"/>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The answer cannot contain a number no measurement produced.</w:t>
            </w:r>
          </w:p>
        </w:tc>
        <w:tc>
          <w:tcPr>
            <w:tcW w:type="dxa" w:w="2730"/>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One evidence item beside the sentence</w:t>
            </w:r>
          </w:p>
        </w:tc>
      </w:tr>
      <w:tr>
        <w:trPr>
          <w:cantSplit/>
        </w:trPr>
        <w:tc>
          <w:tcPr>
            <w:tcW w:type="dxa" w:w="487"/>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4</w:t>
            </w:r>
          </w:p>
        </w:tc>
        <w:tc>
          <w:tcPr>
            <w:tcW w:type="dxa" w:w="2631"/>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b/>
                <w:bCs/>
                <w:sz w:val="19"/>
                <w:szCs w:val="19"/>
              </w:rPr>
              <w:t xml:space="preserve">Auditable trace, not fake reasoning</w:t>
            </w:r>
          </w:p>
        </w:tc>
        <w:tc>
          <w:tcPr>
            <w:tcW w:type="dxa" w:w="3898"/>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Matches exactly what ISRO says it scores.</w:t>
            </w:r>
          </w:p>
        </w:tc>
        <w:tc>
          <w:tcPr>
            <w:tcW w:type="dxa" w:w="2730"/>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The trace panel</w:t>
            </w:r>
          </w:p>
        </w:tc>
      </w:tr>
      <w:tr>
        <w:trPr>
          <w:cantSplit/>
        </w:trPr>
        <w:tc>
          <w:tcPr>
            <w:tcW w:type="dxa" w:w="487"/>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5</w:t>
            </w:r>
          </w:p>
        </w:tc>
        <w:tc>
          <w:tcPr>
            <w:tcW w:type="dxa" w:w="2631"/>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b/>
                <w:bCs/>
                <w:sz w:val="19"/>
                <w:szCs w:val="19"/>
              </w:rPr>
              <w:t xml:space="preserve">Calibrated confidence and abstention</w:t>
            </w:r>
          </w:p>
        </w:tc>
        <w:tc>
          <w:tcPr>
            <w:tcW w:type="dxa" w:w="3898"/>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“0.9” means about 90 %; low-confidence answers are withheld.</w:t>
            </w:r>
          </w:p>
        </w:tc>
        <w:tc>
          <w:tcPr>
            <w:tcW w:type="dxa" w:w="2730"/>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Raise the gate and watch it abstain</w:t>
            </w:r>
          </w:p>
        </w:tc>
      </w:tr>
      <w:tr>
        <w:trPr>
          <w:cantSplit/>
        </w:trPr>
        <w:tc>
          <w:tcPr>
            <w:tcW w:type="dxa" w:w="487"/>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6</w:t>
            </w:r>
          </w:p>
        </w:tc>
        <w:tc>
          <w:tcPr>
            <w:tcW w:type="dxa" w:w="2631"/>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b/>
                <w:bCs/>
                <w:sz w:val="19"/>
                <w:szCs w:val="19"/>
              </w:rPr>
              <w:t xml:space="preserve">Fully offline, adaptation proven by a measured gain</w:t>
            </w:r>
          </w:p>
        </w:tc>
        <w:tc>
          <w:tcPr>
            <w:tcW w:type="dxa" w:w="3898"/>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Survives venue Wi-Fi; R1 evidenced by +13.3 points with p = 1.2e-35.</w:t>
            </w:r>
          </w:p>
        </w:tc>
        <w:tc>
          <w:tcPr>
            <w:tcW w:type="dxa" w:w="2730"/>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Unplug the network</w:t>
            </w:r>
          </w:p>
        </w:tc>
      </w:tr>
    </w:tbl>
    <w:p>
      <w:pPr>
        <w:spacing w:after="160"/>
      </w:pPr>
    </w:p>
    <w:p>
      <w:pPr>
        <w:pStyle w:val="Heading2"/>
      </w:pPr>
      <w:bookmarkStart w:name="bm_nov_compare" w:id="1"/>
      <w:r>
        <w:t xml:space="preserve">9.3   Comparison with existing approaches</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98"/>
        <w:gridCol w:w="1949"/>
        <w:gridCol w:w="1949"/>
        <w:gridCol w:w="1950"/>
      </w:tblGrid>
      <w:tr>
        <w:trPr>
          <w:tblHeader/>
        </w:trPr>
        <w:tc>
          <w:tcPr>
            <w:tcW w:type="dxa" w:w="3898"/>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Capability</w:t>
            </w:r>
          </w:p>
        </w:tc>
        <w:tc>
          <w:tcPr>
            <w:tcW w:type="dxa" w:w="1949"/>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Single-task RS tool</w:t>
            </w:r>
          </w:p>
        </w:tc>
        <w:tc>
          <w:tcPr>
            <w:tcW w:type="dxa" w:w="1949"/>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Generic AI chatbot</w:t>
            </w:r>
          </w:p>
        </w:tc>
        <w:tc>
          <w:tcPr>
            <w:tcW w:type="dxa" w:w="1950"/>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SatQuery AI</w:t>
            </w:r>
          </w:p>
        </w:tc>
      </w:tr>
      <w:tr>
        <w:trPr>
          <w:cantSplit/>
        </w:trPr>
        <w:tc>
          <w:tcPr>
            <w:tcW w:type="dxa" w:w="3898"/>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Ask in plain language</w:t>
            </w:r>
          </w:p>
        </w:tc>
        <w:tc>
          <w:tcPr>
            <w:tcW w:type="dxa" w:w="194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w:t>
            </w:r>
          </w:p>
        </w:tc>
        <w:tc>
          <w:tcPr>
            <w:tcW w:type="dxa" w:w="194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w:t>
            </w:r>
          </w:p>
        </w:tc>
        <w:tc>
          <w:tcPr>
            <w:tcW w:type="dxa" w:w="1950"/>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w:t>
            </w:r>
          </w:p>
        </w:tc>
      </w:tr>
      <w:tr>
        <w:trPr>
          <w:cantSplit/>
        </w:trPr>
        <w:tc>
          <w:tcPr>
            <w:tcW w:type="dxa" w:w="3898"/>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Picks the right analysis automatically</w:t>
            </w:r>
          </w:p>
        </w:tc>
        <w:tc>
          <w:tcPr>
            <w:tcW w:type="dxa" w:w="194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w:t>
            </w:r>
          </w:p>
        </w:tc>
        <w:tc>
          <w:tcPr>
            <w:tcW w:type="dxa" w:w="194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w:t>
            </w:r>
          </w:p>
        </w:tc>
        <w:tc>
          <w:tcPr>
            <w:tcW w:type="dxa" w:w="1950"/>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w:t>
            </w:r>
          </w:p>
        </w:tc>
      </w:tr>
      <w:tr>
        <w:trPr>
          <w:cantSplit/>
        </w:trPr>
        <w:tc>
          <w:tcPr>
            <w:tcW w:type="dxa" w:w="3898"/>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Checks inputs, refuses impossible questions</w:t>
            </w:r>
          </w:p>
        </w:tc>
        <w:tc>
          <w:tcPr>
            <w:tcW w:type="dxa" w:w="194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w:t>
            </w:r>
          </w:p>
        </w:tc>
        <w:tc>
          <w:tcPr>
            <w:tcW w:type="dxa" w:w="194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w:t>
            </w:r>
          </w:p>
        </w:tc>
        <w:tc>
          <w:tcPr>
            <w:tcW w:type="dxa" w:w="1950"/>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w:t>
            </w:r>
          </w:p>
        </w:tc>
      </w:tr>
      <w:tr>
        <w:trPr>
          <w:cantSplit/>
        </w:trPr>
        <w:tc>
          <w:tcPr>
            <w:tcW w:type="dxa" w:w="3898"/>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Optical + SAR together (sees under cloud)</w:t>
            </w:r>
          </w:p>
        </w:tc>
        <w:tc>
          <w:tcPr>
            <w:tcW w:type="dxa" w:w="194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partial</w:t>
            </w:r>
          </w:p>
        </w:tc>
        <w:tc>
          <w:tcPr>
            <w:tcW w:type="dxa" w:w="194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w:t>
            </w:r>
          </w:p>
        </w:tc>
        <w:tc>
          <w:tcPr>
            <w:tcW w:type="dxa" w:w="1950"/>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w:t>
            </w:r>
          </w:p>
        </w:tc>
      </w:tr>
      <w:tr>
        <w:trPr>
          <w:cantSplit/>
        </w:trPr>
        <w:tc>
          <w:tcPr>
            <w:tcW w:type="dxa" w:w="3898"/>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Every number traceable to a measurement</w:t>
            </w:r>
          </w:p>
        </w:tc>
        <w:tc>
          <w:tcPr>
            <w:tcW w:type="dxa" w:w="194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w:t>
            </w:r>
          </w:p>
        </w:tc>
        <w:tc>
          <w:tcPr>
            <w:tcW w:type="dxa" w:w="194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w:t>
            </w:r>
          </w:p>
        </w:tc>
        <w:tc>
          <w:tcPr>
            <w:tcW w:type="dxa" w:w="1950"/>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w:t>
            </w:r>
          </w:p>
        </w:tc>
      </w:tr>
      <w:tr>
        <w:trPr>
          <w:cantSplit/>
        </w:trPr>
        <w:tc>
          <w:tcPr>
            <w:tcW w:type="dxa" w:w="3898"/>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Remote-sensing adapted</w:t>
            </w:r>
          </w:p>
        </w:tc>
        <w:tc>
          <w:tcPr>
            <w:tcW w:type="dxa" w:w="194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w:t>
            </w:r>
          </w:p>
        </w:tc>
        <w:tc>
          <w:tcPr>
            <w:tcW w:type="dxa" w:w="194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w:t>
            </w:r>
          </w:p>
        </w:tc>
        <w:tc>
          <w:tcPr>
            <w:tcW w:type="dxa" w:w="1950"/>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w:t>
            </w:r>
          </w:p>
        </w:tc>
      </w:tr>
      <w:tr>
        <w:trPr>
          <w:cantSplit/>
        </w:trPr>
        <w:tc>
          <w:tcPr>
            <w:tcW w:type="dxa" w:w="3898"/>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Works offline</w:t>
            </w:r>
          </w:p>
        </w:tc>
        <w:tc>
          <w:tcPr>
            <w:tcW w:type="dxa" w:w="194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w:t>
            </w:r>
          </w:p>
        </w:tc>
        <w:tc>
          <w:tcPr>
            <w:tcW w:type="dxa" w:w="194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w:t>
            </w:r>
          </w:p>
        </w:tc>
        <w:tc>
          <w:tcPr>
            <w:tcW w:type="dxa" w:w="1950"/>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w:t>
            </w:r>
          </w:p>
        </w:tc>
      </w:tr>
    </w:tbl>
    <w:p>
      <w:pPr>
        <w:spacing w:after="160"/>
      </w:pPr>
    </w:p>
    <w:p>
      <w:pPr>
        <w:pStyle w:val="Heading2"/>
      </w:pPr>
      <w:bookmarkStart w:name="bm_nov_map" w:id="1"/>
      <w:r>
        <w:t xml:space="preserve">9.4   How the research literature maps onto our pipeline</w:t>
      </w:r>
      <w:bookmarkEnd w:id="1"/>
    </w:p>
    <w:p>
      <w:pPr>
        <w:keepNext/>
        <w:spacing w:after="0" w:before="120"/>
        <w:jc w:val="center"/>
      </w:pPr>
      <w:r>
        <w:drawing>
          <wp:inline distT="0" distB="0" distL="0" distR="0">
            <wp:extent cx="19812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981200" cy="4191000"/>
                    </a:xfrm>
                    <a:prstGeom prst="rect">
                      <a:avLst/>
                    </a:prstGeom>
                  </pic:spPr>
                </pic:pic>
              </a:graphicData>
            </a:graphic>
          </wp:inline>
        </w:drawing>
      </w:r>
    </w:p>
    <w:p>
      <w:pPr>
        <w:keepLines/>
        <w:spacing w:after="220" w:before="60"/>
        <w:jc w:val="center"/>
      </w:pPr>
      <w:r>
        <w:rPr>
          <w:b/>
          <w:bCs/>
          <w:color w:val="0B2545"/>
          <w:sz w:val="17"/>
          <w:szCs w:val="17"/>
        </w:rPr>
        <w:t xml:space="preserve">Figure 30. </w:t>
      </w:r>
      <w:r>
        <w:rPr>
          <w:i/>
          <w:iCs/>
          <w:color w:val="6B7280"/>
          <w:sz w:val="17"/>
          <w:szCs w:val="17"/>
        </w:rPr>
        <w:t xml:space="preserve">Pipeline mapping: each stage of SatQuery AI and the published work it builds on.</w:t>
      </w:r>
    </w:p>
    <w:p>
      <w:pPr>
        <w:jc w:val="both"/>
      </w:pPr>
      <w:r>
        <w:t xml:space="preserve">Change-Agent </w:t>
      </w:r>
      <w:hyperlink w:history="1" w:anchor="bm_ref_13">
        <w:r>
          <w:rPr>
            <w:color w:val="2A78D6"/>
          </w:rPr>
          <w:t xml:space="preserve">[13]</w:t>
        </w:r>
      </w:hyperlink>
      <w:r>
        <w:t xml:space="preserve"> established the pattern of an LLM as the controller with vision models as the eyes; we adopt it with a stricter constraint. RS-Agent </w:t>
      </w:r>
      <w:hyperlink w:history="1" w:anchor="bm_ref_14">
        <w:r>
          <w:rPr>
            <w:color w:val="2A78D6"/>
          </w:rPr>
          <w:t xml:space="preserve">[14]</w:t>
        </w:r>
      </w:hyperlink>
      <w:r>
        <w:t xml:space="preserve"> demonstrated a tool registry with structured task planning; our registry is closed and declarative. Multi-agent geospatial copilots </w:t>
      </w:r>
      <w:hyperlink w:history="1" w:anchor="bm_ref_15">
        <w:r>
          <w:rPr>
            <w:color w:val="2A78D6"/>
          </w:rPr>
          <w:t xml:space="preserve">[15]</w:t>
        </w:r>
      </w:hyperlink>
      <w:r>
        <w:t xml:space="preserve"> validate dispatching to specialists; the agentic remote-sensing survey </w:t>
      </w:r>
      <w:hyperlink w:history="1" w:anchor="bm_ref_16">
        <w:r>
          <w:rPr>
            <w:color w:val="2A78D6"/>
          </w:rPr>
          <w:t xml:space="preserve">[16]</w:t>
        </w:r>
      </w:hyperlink>
      <w:r>
        <w:t xml:space="preserve"> served as our failure-mode checklist (hallucinated tools, unchecked inputs, unverifiable outputs). GeoChat </w:t>
      </w:r>
      <w:hyperlink w:history="1" w:anchor="bm_ref_9">
        <w:r>
          <w:rPr>
            <w:color w:val="2A78D6"/>
          </w:rPr>
          <w:t xml:space="preserve">[9]</w:t>
        </w:r>
      </w:hyperlink>
      <w:r>
        <w:t xml:space="preserve"> is the grounded remote-sensing VLM baseline, EarthGPT </w:t>
      </w:r>
      <w:hyperlink w:history="1" w:anchor="bm_ref_10">
        <w:r>
          <w:rPr>
            <w:color w:val="2A78D6"/>
          </w:rPr>
          <w:t xml:space="preserve">[10]</w:t>
        </w:r>
      </w:hyperlink>
      <w:r>
        <w:t xml:space="preserve"> demonstrates multi-sensor feasibility, and GeoGround </w:t>
      </w:r>
      <w:hyperlink w:history="1" w:anchor="bm_ref_11">
        <w:r>
          <w:rPr>
            <w:color w:val="2A78D6"/>
          </w:rPr>
          <w:t xml:space="preserve">[11]</w:t>
        </w:r>
      </w:hyperlink>
      <w:r>
        <w:t xml:space="preserve"> informs the box/mask output format.</w:t>
      </w:r>
    </w:p>
    <w:p>
      <w:pPr>
        <w:pStyle w:val="Heading1"/>
        <w:pageBreakBefore/>
        <w:pBdr>
          <w:bottom w:val="single" w:color="0B2545" w:sz="18" w:space="4"/>
        </w:pBdr>
      </w:pPr>
      <w:bookmarkStart w:name="bm_feasibility" w:id="1"/>
      <w:r>
        <w:t xml:space="preserve">10   Feasibility and Viability</w:t>
      </w:r>
      <w:bookmarkEnd w:id="1"/>
    </w:p>
    <w:p>
      <w:pPr>
        <w:jc w:val="both"/>
      </w:pPr>
      <w:r>
        <w:t xml:space="preserve">Feasibility is not argued here — it is demonstrated. Every capability claimed in this report runs in the repository today, and the one component that needed GPU training was trained on free compute.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4"/>
        <w:gridCol w:w="7602"/>
      </w:tblGrid>
      <w:tr>
        <w:trPr>
          <w:tblHeader/>
        </w:trPr>
        <w:tc>
          <w:tcPr>
            <w:tcW w:type="dxa" w:w="2144"/>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Dimension</w:t>
            </w:r>
          </w:p>
        </w:tc>
        <w:tc>
          <w:tcPr>
            <w:tcW w:type="dxa" w:w="7602"/>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Evidence</w:t>
            </w:r>
          </w:p>
        </w:tc>
      </w:tr>
      <w:tr>
        <w:trPr>
          <w:cantSplit/>
        </w:trPr>
        <w:tc>
          <w:tcPr>
            <w:tcW w:type="dxa" w:w="214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b/>
                <w:bCs/>
                <w:sz w:val="19"/>
                <w:szCs w:val="19"/>
              </w:rPr>
              <w:t xml:space="preserve">Technical</w:t>
            </w:r>
          </w:p>
        </w:tc>
        <w:tc>
          <w:tcPr>
            <w:tcW w:type="dxa" w:w="7602"/>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All five mandatory capabilities built and tested (49-check self-test). M1 trained, measured and wired into the pipeline, served live on a GPU or from pre-computed answers on any laptop.</w:t>
            </w:r>
          </w:p>
        </w:tc>
      </w:tr>
      <w:tr>
        <w:trPr>
          <w:cantSplit/>
        </w:trPr>
        <w:tc>
          <w:tcPr>
            <w:tcW w:type="dxa" w:w="214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b/>
                <w:bCs/>
                <w:sz w:val="19"/>
                <w:szCs w:val="19"/>
              </w:rPr>
              <w:t xml:space="preserve">Compute</w:t>
            </w:r>
          </w:p>
        </w:tc>
        <w:tc>
          <w:tcPr>
            <w:tcW w:type="dxa" w:w="7602"/>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M1 trained on a free Kaggle T4 in </w:t>
            </w:r>
            <w:r>
              <w:rPr>
                <w:rFonts w:ascii="Consolas" w:cs="Consolas" w:eastAsia="Consolas" w:hAnsi="Consolas"/>
                <w:sz w:val="17"/>
                <w:szCs w:val="17"/>
                <w:shd w:fill="EEF1F5" w:color="auto" w:val="clear"/>
              </w:rPr>
              <w:t xml:space="preserve">9.6 GPU-hours across two rungs. Inference needs </w:t>
            </w:r>
            <w:r>
              <w:rPr>
                <w:sz w:val="19"/>
                <w:szCs w:val="19"/>
              </w:rPr>
              <w:t xml:space="preserve">6 GB of GPU memory at 4-bit; the classical path runs on a CPU in under 100 ms.</w:t>
            </w:r>
          </w:p>
        </w:tc>
      </w:tr>
      <w:tr>
        <w:trPr>
          <w:cantSplit/>
        </w:trPr>
        <w:tc>
          <w:tcPr>
            <w:tcW w:type="dxa" w:w="214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b/>
                <w:bCs/>
                <w:sz w:val="19"/>
                <w:szCs w:val="19"/>
              </w:rPr>
              <w:t xml:space="preserve">Data</w:t>
            </w:r>
          </w:p>
        </w:tc>
        <w:tc>
          <w:tcPr>
            <w:tcW w:type="dxa" w:w="7602"/>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All training and evaluation data is open: VRSBench (12.5 GB) </w:t>
            </w:r>
            <w:hyperlink w:history="1" w:anchor="bm_ref_4">
              <w:r>
                <w:rPr>
                  <w:color w:val="2A78D6"/>
                  <w:sz w:val="19"/>
                  <w:szCs w:val="19"/>
                </w:rPr>
                <w:t xml:space="preserve">[4]</w:t>
              </w:r>
            </w:hyperlink>
            <w:r>
              <w:rPr>
                <w:sz w:val="19"/>
                <w:szCs w:val="19"/>
              </w:rPr>
              <w:t xml:space="preserve">, BigEarthNet.txt annotations </w:t>
            </w:r>
            <w:hyperlink w:history="1" w:anchor="bm_ref_1">
              <w:r>
                <w:rPr>
                  <w:color w:val="2A78D6"/>
                  <w:sz w:val="19"/>
                  <w:szCs w:val="19"/>
                </w:rPr>
                <w:t xml:space="preserve">[1]</w:t>
              </w:r>
            </w:hyperlink>
            <w:hyperlink w:history="1" w:anchor="bm_ref_3">
              <w:r>
                <w:rPr>
                  <w:color w:val="2A78D6"/>
                  <w:sz w:val="19"/>
                  <w:szCs w:val="19"/>
                </w:rPr>
                <w:t xml:space="preserve">[3]</w:t>
              </w:r>
            </w:hyperlink>
            <w:r>
              <w:rPr>
                <w:sz w:val="19"/>
                <w:szCs w:val="19"/>
              </w:rPr>
              <w:t xml:space="preserve">, RSVQA </w:t>
            </w:r>
            <w:hyperlink w:history="1" w:anchor="bm_ref_5">
              <w:r>
                <w:rPr>
                  <w:color w:val="2A78D6"/>
                  <w:sz w:val="19"/>
                  <w:szCs w:val="19"/>
                </w:rPr>
                <w:t xml:space="preserve">[5]</w:t>
              </w:r>
            </w:hyperlink>
            <w:r>
              <w:rPr>
                <w:sz w:val="19"/>
                <w:szCs w:val="19"/>
              </w:rPr>
              <w:t xml:space="preserve">, CDVQA </w:t>
            </w:r>
            <w:hyperlink w:history="1" w:anchor="bm_ref_7">
              <w:r>
                <w:rPr>
                  <w:color w:val="2A78D6"/>
                  <w:sz w:val="19"/>
                  <w:szCs w:val="19"/>
                </w:rPr>
                <w:t xml:space="preserve">[7]</w:t>
              </w:r>
            </w:hyperlink>
            <w:r>
              <w:rPr>
                <w:sz w:val="19"/>
                <w:szCs w:val="19"/>
              </w:rPr>
              <w:t xml:space="preserve">, Sentinel-1/2 </w:t>
            </w:r>
            <w:hyperlink w:history="1" w:anchor="bm_ref_28">
              <w:r>
                <w:rPr>
                  <w:color w:val="2A78D6"/>
                  <w:sz w:val="19"/>
                  <w:szCs w:val="19"/>
                </w:rPr>
                <w:t xml:space="preserve">[28]</w:t>
              </w:r>
            </w:hyperlink>
            <w:r>
              <w:rPr>
                <w:sz w:val="19"/>
                <w:szCs w:val="19"/>
              </w:rPr>
              <w:t xml:space="preserve">. The PS explicitly permits “any open-source training data”, which avoided a 155 GB BigEarthNet image download.</w:t>
            </w:r>
          </w:p>
        </w:tc>
      </w:tr>
      <w:tr>
        <w:trPr>
          <w:cantSplit/>
        </w:trPr>
        <w:tc>
          <w:tcPr>
            <w:tcW w:type="dxa" w:w="214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b/>
                <w:bCs/>
                <w:sz w:val="19"/>
                <w:szCs w:val="19"/>
              </w:rPr>
              <w:t xml:space="preserve">Economic</w:t>
            </w:r>
          </w:p>
        </w:tc>
        <w:tc>
          <w:tcPr>
            <w:tcW w:type="dxa" w:w="7602"/>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Zero licence cost: every dependency is open source; the base model is Apache-2.0. No paid GPU was required to reach the submitted result.</w:t>
            </w:r>
          </w:p>
        </w:tc>
      </w:tr>
      <w:tr>
        <w:trPr>
          <w:cantSplit/>
        </w:trPr>
        <w:tc>
          <w:tcPr>
            <w:tcW w:type="dxa" w:w="214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b/>
                <w:bCs/>
                <w:sz w:val="19"/>
                <w:szCs w:val="19"/>
              </w:rPr>
              <w:t xml:space="preserve">Operational</w:t>
            </w:r>
          </w:p>
        </w:tc>
        <w:tc>
          <w:tcPr>
            <w:tcW w:type="dxa" w:w="7602"/>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Browser application, drag-and-drop GeoTIFF upload, downloadable report and GeoJSON, fully offline, one command to start.</w:t>
            </w:r>
          </w:p>
        </w:tc>
      </w:tr>
      <w:tr>
        <w:trPr>
          <w:cantSplit/>
        </w:trPr>
        <w:tc>
          <w:tcPr>
            <w:tcW w:type="dxa" w:w="214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b/>
                <w:bCs/>
                <w:sz w:val="19"/>
                <w:szCs w:val="19"/>
              </w:rPr>
              <w:t xml:space="preserve">Trust</w:t>
            </w:r>
          </w:p>
        </w:tc>
        <w:tc>
          <w:tcPr>
            <w:tcW w:type="dxa" w:w="7602"/>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Refusal before any model runs; answers phrased only from measured evidence; calibrated confidence; complete execution trace; synthetic scenes disclosed on screen.</w:t>
            </w:r>
          </w:p>
        </w:tc>
      </w:tr>
    </w:tbl>
    <w:p>
      <w:pPr>
        <w:spacing w:after="160"/>
      </w:pPr>
    </w:p>
    <w:p>
      <w:pPr>
        <w:pStyle w:val="Heading2"/>
      </w:pPr>
      <w:bookmarkStart w:name="bm_feas_risks" w:id="1"/>
      <w:r>
        <w:t xml:space="preserve">10.1   Risks and mitigations</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24"/>
        <w:gridCol w:w="2729"/>
        <w:gridCol w:w="4093"/>
      </w:tblGrid>
      <w:tr>
        <w:trPr>
          <w:tblHeader/>
        </w:trPr>
        <w:tc>
          <w:tcPr>
            <w:tcW w:type="dxa" w:w="2924"/>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Risk</w:t>
            </w:r>
          </w:p>
        </w:tc>
        <w:tc>
          <w:tcPr>
            <w:tcW w:type="dxa" w:w="2729"/>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Impact</w:t>
            </w:r>
          </w:p>
        </w:tc>
        <w:tc>
          <w:tcPr>
            <w:tcW w:type="dxa" w:w="4093"/>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Mitigation</w:t>
            </w:r>
          </w:p>
        </w:tc>
      </w:tr>
      <w:tr>
        <w:trPr>
          <w:cantSplit/>
        </w:trPr>
        <w:tc>
          <w:tcPr>
            <w:tcW w:type="dxa" w:w="292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Domain gap: Sentinel / Google Earth → Cartosat-2S / RISAT</w:t>
            </w:r>
          </w:p>
        </w:tc>
        <w:tc>
          <w:tcPr>
            <w:tcW w:type="dxa" w:w="272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Public scores may not transfer</w:t>
            </w:r>
          </w:p>
        </w:tc>
        <w:tc>
          <w:tcPr>
            <w:tcW w:type="dxa" w:w="4093"/>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Robustness over peak: input validation, calibrated confidence, abstention; Indian imagery from Bhuvan / Bhoonidhi </w:t>
            </w:r>
            <w:hyperlink w:history="1" w:anchor="bm_ref_21">
              <w:r>
                <w:rPr>
                  <w:color w:val="2A78D6"/>
                  <w:sz w:val="19"/>
                  <w:szCs w:val="19"/>
                </w:rPr>
                <w:t xml:space="preserve">[21]</w:t>
              </w:r>
            </w:hyperlink>
            <w:hyperlink w:history="1" w:anchor="bm_ref_29">
              <w:r>
                <w:rPr>
                  <w:color w:val="2A78D6"/>
                  <w:sz w:val="19"/>
                  <w:szCs w:val="19"/>
                </w:rPr>
                <w:t xml:space="preserve">[29]</w:t>
              </w:r>
            </w:hyperlink>
            <w:r>
              <w:rPr>
                <w:sz w:val="19"/>
                <w:szCs w:val="19"/>
              </w:rPr>
              <w:t xml:space="preserve"> where obtainable</w:t>
            </w:r>
          </w:p>
        </w:tc>
      </w:tr>
      <w:tr>
        <w:trPr>
          <w:cantSplit/>
        </w:trPr>
        <w:tc>
          <w:tcPr>
            <w:tcW w:type="dxa" w:w="292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SAR treated as a greyscale photo</w:t>
            </w:r>
          </w:p>
        </w:tc>
        <w:tc>
          <w:tcPr>
            <w:tcW w:type="dxa" w:w="272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Confident nonsense; exposed by an ISRO panel</w:t>
            </w:r>
          </w:p>
        </w:tc>
        <w:tc>
          <w:tcPr>
            <w:tcW w:type="dxa" w:w="4093"/>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Separate SAR path; M1 never sees SAR (ADR-003)</w:t>
            </w:r>
          </w:p>
        </w:tc>
      </w:tr>
      <w:tr>
        <w:trPr>
          <w:cantSplit/>
        </w:trPr>
        <w:tc>
          <w:tcPr>
            <w:tcW w:type="dxa" w:w="292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Data leakage from random splits</w:t>
            </w:r>
          </w:p>
        </w:tc>
        <w:tc>
          <w:tcPr>
            <w:tcW w:type="dxa" w:w="272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Inflated scores, failure on the day</w:t>
            </w:r>
          </w:p>
        </w:tc>
        <w:tc>
          <w:tcPr>
            <w:tcW w:type="dxa" w:w="4093"/>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Official splits; overlap counted (zero); geographic tile-level splits for new data (ADR-006)</w:t>
            </w:r>
          </w:p>
        </w:tc>
      </w:tr>
      <w:tr>
        <w:trPr>
          <w:cantSplit/>
        </w:trPr>
        <w:tc>
          <w:tcPr>
            <w:tcW w:type="dxa" w:w="292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A metric measured on its own construction</w:t>
            </w:r>
          </w:p>
        </w:tc>
        <w:tc>
          <w:tcPr>
            <w:tcW w:type="dxa" w:w="272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One caught number discredits all others</w:t>
            </w:r>
          </w:p>
        </w:tc>
        <w:tc>
          <w:tcPr>
            <w:tcW w:type="dxa" w:w="4093"/>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Router accuracy not claimed until held-out; composite formulas printed; ablation rows named for what runs</w:t>
            </w:r>
          </w:p>
        </w:tc>
      </w:tr>
      <w:tr>
        <w:trPr>
          <w:cantSplit/>
        </w:trPr>
        <w:tc>
          <w:tcPr>
            <w:tcW w:type="dxa" w:w="292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Venue compute or network fails</w:t>
            </w:r>
          </w:p>
        </w:tc>
        <w:tc>
          <w:tcPr>
            <w:tcW w:type="dxa" w:w="272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Demo cannot run</w:t>
            </w:r>
          </w:p>
        </w:tc>
        <w:tc>
          <w:tcPr>
            <w:tcW w:type="dxa" w:w="4093"/>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4-bit model; offline by design; labelled pre-computed fallback; classical path always available</w:t>
            </w:r>
          </w:p>
        </w:tc>
      </w:tr>
      <w:tr>
        <w:trPr>
          <w:cantSplit/>
        </w:trPr>
        <w:tc>
          <w:tcPr>
            <w:tcW w:type="dxa" w:w="292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Judging weights unknown</w:t>
            </w:r>
          </w:p>
        </w:tc>
        <w:tc>
          <w:tcPr>
            <w:tcW w:type="dxa" w:w="272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Cannot optimise one metric</w:t>
            </w:r>
          </w:p>
        </w:tc>
        <w:tc>
          <w:tcPr>
            <w:tcW w:type="dxa" w:w="4093"/>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All five capabilities separately visible and measured</w:t>
            </w:r>
          </w:p>
        </w:tc>
      </w:tr>
      <w:tr>
        <w:trPr>
          <w:cantSplit/>
        </w:trPr>
        <w:tc>
          <w:tcPr>
            <w:tcW w:type="dxa" w:w="292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Licence blocks delivery of weights</w:t>
            </w:r>
          </w:p>
        </w:tc>
        <w:tc>
          <w:tcPr>
            <w:tcW w:type="dxa" w:w="272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Deliverable includes models</w:t>
            </w:r>
          </w:p>
        </w:tc>
        <w:tc>
          <w:tcPr>
            <w:tcW w:type="dxa" w:w="4093"/>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Apache-2.0 base verified on the model card</w:t>
            </w:r>
          </w:p>
        </w:tc>
      </w:tr>
      <w:tr>
        <w:trPr>
          <w:cantSplit/>
        </w:trPr>
        <w:tc>
          <w:tcPr>
            <w:tcW w:type="dxa" w:w="292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Kaggle limits (no bf16, 9-hour sessions)</w:t>
            </w:r>
          </w:p>
        </w:tc>
        <w:tc>
          <w:tcPr>
            <w:tcW w:type="dxa" w:w="272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Lost training days</w:t>
            </w:r>
          </w:p>
        </w:tc>
        <w:tc>
          <w:tcPr>
            <w:tcW w:type="dxa" w:w="4093"/>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fp16; checkpoint and resume built from day one — both runs survived interruption</w:t>
            </w:r>
          </w:p>
        </w:tc>
      </w:tr>
    </w:tbl>
    <w:p>
      <w:pPr>
        <w:pStyle w:val="Heading1"/>
        <w:pageBreakBefore/>
        <w:pBdr>
          <w:bottom w:val="single" w:color="0B2545" w:sz="18" w:space="4"/>
        </w:pBdr>
      </w:pPr>
      <w:bookmarkStart w:name="bm_scale" w:id="1"/>
      <w:r>
        <w:t xml:space="preserve">11   Scalability and Future Roadmap</w:t>
      </w:r>
      <w:bookmarkEnd w:id="1"/>
    </w:p>
    <w:p>
      <w:pPr>
        <w:jc w:val="both"/>
      </w:pPr>
      <w:r>
        <w:t xml:space="preserve">The architecture was drawn so that growth is a configuration change rather than a rewrite. Scaling happens along four independent axes: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39"/>
        <w:gridCol w:w="7407"/>
      </w:tblGrid>
      <w:tr>
        <w:trPr>
          <w:tblHeader/>
        </w:trPr>
        <w:tc>
          <w:tcPr>
            <w:tcW w:type="dxa" w:w="2339"/>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Axis</w:t>
            </w:r>
          </w:p>
        </w:tc>
        <w:tc>
          <w:tcPr>
            <w:tcW w:type="dxa" w:w="7407"/>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How SatQuery scales</w:t>
            </w:r>
          </w:p>
        </w:tc>
      </w:tr>
      <w:tr>
        <w:trPr>
          <w:cantSplit/>
        </w:trPr>
        <w:tc>
          <w:tcPr>
            <w:tcW w:type="dxa" w:w="233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b/>
                <w:bCs/>
                <w:sz w:val="19"/>
                <w:szCs w:val="19"/>
              </w:rPr>
              <w:t xml:space="preserve">More users</w:t>
            </w:r>
          </w:p>
        </w:tc>
        <w:tc>
          <w:tcPr>
            <w:tcW w:type="dxa" w:w="7407"/>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The API service is stateless and scales horizontally behind a load balancer; the web app is static and served from a CDN.</w:t>
            </w:r>
          </w:p>
        </w:tc>
      </w:tr>
      <w:tr>
        <w:trPr>
          <w:cantSplit/>
        </w:trPr>
        <w:tc>
          <w:tcPr>
            <w:tcW w:type="dxa" w:w="233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b/>
                <w:bCs/>
                <w:sz w:val="19"/>
                <w:szCs w:val="19"/>
              </w:rPr>
              <w:t xml:space="preserve">More models / tasks</w:t>
            </w:r>
          </w:p>
        </w:tc>
        <w:tc>
          <w:tcPr>
            <w:tcW w:type="dxa" w:w="7407"/>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A new capability is one registry row plus one adapter pack (tens of MB) on the same frozen base — no new 7B model, no router rewrite. The pack contract (PEFT files + manifest with measured scores) is already defined.</w:t>
            </w:r>
          </w:p>
        </w:tc>
      </w:tr>
      <w:tr>
        <w:trPr>
          <w:cantSplit/>
        </w:trPr>
        <w:tc>
          <w:tcPr>
            <w:tcW w:type="dxa" w:w="233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b/>
                <w:bCs/>
                <w:sz w:val="19"/>
                <w:szCs w:val="19"/>
              </w:rPr>
              <w:t xml:space="preserve">More GPU throughput</w:t>
            </w:r>
          </w:p>
        </w:tc>
        <w:tc>
          <w:tcPr>
            <w:tcW w:type="dxa" w:w="7407"/>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The model runtime is the only GPU-bound unit and sits behind its own interface, so it can move to a separate GPU server or a pool of them without touching the API; adapters hot-swap per request.</w:t>
            </w:r>
          </w:p>
        </w:tc>
      </w:tr>
      <w:tr>
        <w:trPr>
          <w:cantSplit/>
        </w:trPr>
        <w:tc>
          <w:tcPr>
            <w:tcW w:type="dxa" w:w="233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b/>
                <w:bCs/>
                <w:sz w:val="19"/>
                <w:szCs w:val="19"/>
              </w:rPr>
              <w:t xml:space="preserve">Larger imagery and archives</w:t>
            </w:r>
          </w:p>
        </w:tc>
        <w:tc>
          <w:tcPr>
            <w:tcW w:type="dxa" w:w="7407"/>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Rasters live in S3-compatible object storage and are read as tiles; results with geometry go to PostGIS, so spatial questions (“every change in this district since 2024”) become SQL rather than application code.</w:t>
            </w:r>
          </w:p>
        </w:tc>
      </w:tr>
    </w:tbl>
    <w:p>
      <w:pPr>
        <w:spacing w:after="160"/>
      </w:pPr>
    </w:p>
    <w:p>
      <w:pPr>
        <w:keepNext/>
        <w:spacing w:after="0" w:before="120"/>
        <w:jc w:val="center"/>
      </w:pPr>
      <w:r>
        <w:drawing>
          <wp:inline distT="0" distB="0" distL="0" distR="0">
            <wp:extent cx="28194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819400" cy="4191000"/>
                    </a:xfrm>
                    <a:prstGeom prst="rect">
                      <a:avLst/>
                    </a:prstGeom>
                  </pic:spPr>
                </pic:pic>
              </a:graphicData>
            </a:graphic>
          </wp:inline>
        </w:drawing>
      </w:r>
    </w:p>
    <w:p>
      <w:pPr>
        <w:keepLines/>
        <w:spacing w:after="220" w:before="60"/>
        <w:jc w:val="center"/>
      </w:pPr>
      <w:r>
        <w:rPr>
          <w:b/>
          <w:bCs/>
          <w:color w:val="0B2545"/>
          <w:sz w:val="17"/>
          <w:szCs w:val="17"/>
        </w:rPr>
        <w:t xml:space="preserve">Figure 31. </w:t>
      </w:r>
      <w:r>
        <w:rPr>
          <w:i/>
          <w:iCs/>
          <w:color w:val="6B7280"/>
          <w:sz w:val="17"/>
          <w:szCs w:val="17"/>
        </w:rPr>
        <w:t xml:space="preserve">Target production architecture: stateless API replicas, a queue feeding GPU workers that share one base model with hot-swapped adapters, and spatial storage.</w:t>
      </w:r>
    </w:p>
    <w:p>
      <w:pPr>
        <w:pStyle w:val="Heading2"/>
      </w:pPr>
      <w:bookmarkStart w:name="bm_scale_roadmap" w:id="1"/>
      <w:r>
        <w:t xml:space="preserve">11.1   Roadmap</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4"/>
        <w:gridCol w:w="1949"/>
        <w:gridCol w:w="6043"/>
      </w:tblGrid>
      <w:tr>
        <w:trPr>
          <w:tblHeader/>
        </w:trPr>
        <w:tc>
          <w:tcPr>
            <w:tcW w:type="dxa" w:w="1754"/>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Phase</w:t>
            </w:r>
          </w:p>
        </w:tc>
        <w:tc>
          <w:tcPr>
            <w:tcW w:type="dxa" w:w="1949"/>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Window</w:t>
            </w:r>
          </w:p>
        </w:tc>
        <w:tc>
          <w:tcPr>
            <w:tcW w:type="dxa" w:w="6043"/>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Deliverables</w:t>
            </w:r>
          </w:p>
        </w:tc>
      </w:tr>
      <w:tr>
        <w:trPr>
          <w:cantSplit/>
        </w:trPr>
        <w:tc>
          <w:tcPr>
            <w:tcW w:type="dxa" w:w="175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b/>
                <w:bCs/>
                <w:sz w:val="19"/>
                <w:szCs w:val="19"/>
              </w:rPr>
              <w:t xml:space="preserve">Selection</w:t>
            </w:r>
            <w:r>
              <w:rPr>
                <w:sz w:val="19"/>
                <w:szCs w:val="19"/>
              </w:rPr>
              <w:t xml:space="preserve"> (done)</w:t>
            </w:r>
          </w:p>
        </w:tc>
        <w:tc>
          <w:tcPr>
            <w:tcW w:type="dxa" w:w="194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Sep 2026</w:t>
            </w:r>
          </w:p>
        </w:tc>
        <w:tc>
          <w:tcPr>
            <w:tcW w:type="dxa" w:w="6043"/>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All five capabilities built; M1 trained and measured (+13.3 points); web workstation; upload; reports; this document</w:t>
            </w:r>
          </w:p>
        </w:tc>
      </w:tr>
      <w:tr>
        <w:trPr>
          <w:cantSplit/>
        </w:trPr>
        <w:tc>
          <w:tcPr>
            <w:tcW w:type="dxa" w:w="175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b/>
                <w:bCs/>
                <w:sz w:val="19"/>
                <w:szCs w:val="19"/>
              </w:rPr>
              <w:t xml:space="preserve">Build</w:t>
            </w:r>
          </w:p>
        </w:tc>
        <w:tc>
          <w:tcPr>
            <w:tcW w:type="dxa" w:w="194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Oct – Nov 2026</w:t>
            </w:r>
          </w:p>
        </w:tc>
        <w:tc>
          <w:tcPr>
            <w:tcW w:type="dxa" w:w="6043"/>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M2 grounding adapter (VRSBench); M3 change adapter + Siamese head (CDVQA); M4 SAR encoder on Sentinel-1 with late fusion; RSVQA and CDVQA loaders; held-out router paraphrase set; stress suite; venue-laptop test in November</w:t>
            </w:r>
          </w:p>
        </w:tc>
      </w:tr>
      <w:tr>
        <w:trPr>
          <w:cantSplit/>
        </w:trPr>
        <w:tc>
          <w:tcPr>
            <w:tcW w:type="dxa" w:w="175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b/>
                <w:bCs/>
                <w:sz w:val="19"/>
                <w:szCs w:val="19"/>
              </w:rPr>
              <w:t xml:space="preserve">Grand Finale</w:t>
            </w:r>
          </w:p>
        </w:tc>
        <w:tc>
          <w:tcPr>
            <w:tcW w:type="dxa" w:w="194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Dec 2026</w:t>
            </w:r>
          </w:p>
        </w:tc>
        <w:tc>
          <w:tcPr>
            <w:tcW w:type="dxa" w:w="6043"/>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Integration, rehearsal, labelled venue fallback — not new construction</w:t>
            </w:r>
          </w:p>
        </w:tc>
      </w:tr>
      <w:tr>
        <w:trPr>
          <w:cantSplit/>
        </w:trPr>
        <w:tc>
          <w:tcPr>
            <w:tcW w:type="dxa" w:w="175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b/>
                <w:bCs/>
                <w:sz w:val="19"/>
                <w:szCs w:val="19"/>
              </w:rPr>
              <w:t xml:space="preserve">Beyond</w:t>
            </w:r>
          </w:p>
        </w:tc>
        <w:tc>
          <w:tcPr>
            <w:tcW w:type="dxa" w:w="194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2027</w:t>
            </w:r>
          </w:p>
        </w:tc>
        <w:tc>
          <w:tcPr>
            <w:tcW w:type="dxa" w:w="6043"/>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Trained router classifier (M5); Indian-sensor adaptation on Cartosat/RISAT via Bhoonidhi </w:t>
            </w:r>
            <w:hyperlink w:history="1" w:anchor="bm_ref_21">
              <w:r>
                <w:rPr>
                  <w:color w:val="2A78D6"/>
                  <w:sz w:val="19"/>
                  <w:szCs w:val="19"/>
                </w:rPr>
                <w:t xml:space="preserve">[21]</w:t>
              </w:r>
            </w:hyperlink>
            <w:r>
              <w:rPr>
                <w:sz w:val="19"/>
                <w:szCs w:val="19"/>
              </w:rPr>
              <w:t xml:space="preserve">; PostGIS-backed archive queries; historical time-series tools (LandTrendr </w:t>
            </w:r>
            <w:hyperlink w:history="1" w:anchor="bm_ref_30">
              <w:r>
                <w:rPr>
                  <w:color w:val="2A78D6"/>
                  <w:sz w:val="19"/>
                  <w:szCs w:val="19"/>
                </w:rPr>
                <w:t xml:space="preserve">[30]</w:t>
              </w:r>
            </w:hyperlink>
            <w:r>
              <w:rPr>
                <w:sz w:val="19"/>
                <w:szCs w:val="19"/>
              </w:rPr>
              <w:t xml:space="preserve">, CCDC </w:t>
            </w:r>
            <w:hyperlink w:history="1" w:anchor="bm_ref_31">
              <w:r>
                <w:rPr>
                  <w:color w:val="2A78D6"/>
                  <w:sz w:val="19"/>
                  <w:szCs w:val="19"/>
                </w:rPr>
                <w:t xml:space="preserve">[31]</w:t>
              </w:r>
            </w:hyperlink>
            <w:r>
              <w:rPr>
                <w:sz w:val="19"/>
                <w:szCs w:val="19"/>
              </w:rPr>
              <w:t xml:space="preserve">)</w:t>
            </w:r>
          </w:p>
        </w:tc>
      </w:tr>
    </w:tbl>
    <w:p>
      <w:pPr>
        <w:pStyle w:val="Heading1"/>
        <w:pageBreakBefore/>
        <w:pBdr>
          <w:bottom w:val="single" w:color="0B2545" w:sz="18" w:space="4"/>
        </w:pBdr>
      </w:pPr>
      <w:bookmarkStart w:name="bm_impact" w:id="1"/>
      <w:r>
        <w:t xml:space="preserve">12   Impact and Benefits</w:t>
      </w:r>
      <w:bookmarkEnd w:id="1"/>
    </w:p>
    <w:p>
      <w:pPr>
        <w:pStyle w:val="Heading2"/>
      </w:pPr>
      <w:bookmarkStart w:name="bm_impact_users" w:id="1"/>
      <w:r>
        <w:t xml:space="preserve">12.1   Who benefits</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39"/>
        <w:gridCol w:w="3509"/>
        <w:gridCol w:w="3898"/>
      </w:tblGrid>
      <w:tr>
        <w:trPr>
          <w:tblHeader/>
        </w:trPr>
        <w:tc>
          <w:tcPr>
            <w:tcW w:type="dxa" w:w="2339"/>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User</w:t>
            </w:r>
          </w:p>
        </w:tc>
        <w:tc>
          <w:tcPr>
            <w:tcW w:type="dxa" w:w="3509"/>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Situation today</w:t>
            </w:r>
          </w:p>
        </w:tc>
        <w:tc>
          <w:tcPr>
            <w:tcW w:type="dxa" w:w="3898"/>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With SatQuery AI</w:t>
            </w:r>
          </w:p>
        </w:tc>
      </w:tr>
      <w:tr>
        <w:trPr>
          <w:cantSplit/>
        </w:trPr>
        <w:tc>
          <w:tcPr>
            <w:tcW w:type="dxa" w:w="233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District and disaster officers</w:t>
            </w:r>
          </w:p>
        </w:tc>
        <w:tc>
          <w:tcPr>
            <w:tcW w:type="dxa" w:w="350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Operational decisions, no GIS training</w:t>
            </w:r>
          </w:p>
        </w:tc>
        <w:tc>
          <w:tcPr>
            <w:tcW w:type="dxa" w:w="3898"/>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Flood extent, damage and construction questions answered with a map, hectares and a confidence value</w:t>
            </w:r>
          </w:p>
        </w:tc>
      </w:tr>
      <w:tr>
        <w:trPr>
          <w:cantSplit/>
        </w:trPr>
        <w:tc>
          <w:tcPr>
            <w:tcW w:type="dxa" w:w="233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Agriculture and water departments</w:t>
            </w:r>
          </w:p>
        </w:tc>
        <w:tc>
          <w:tcPr>
            <w:tcW w:type="dxa" w:w="350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Depend on specialist analysis cycles</w:t>
            </w:r>
          </w:p>
        </w:tc>
        <w:tc>
          <w:tcPr>
            <w:tcW w:type="dxa" w:w="3898"/>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Vegetation and water-body extent from imagery, on demand</w:t>
            </w:r>
          </w:p>
        </w:tc>
      </w:tr>
      <w:tr>
        <w:trPr>
          <w:cantSplit/>
        </w:trPr>
        <w:tc>
          <w:tcPr>
            <w:tcW w:type="dxa" w:w="233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Urban planners</w:t>
            </w:r>
          </w:p>
        </w:tc>
        <w:tc>
          <w:tcPr>
            <w:tcW w:type="dxa" w:w="350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Manual comparison of dates</w:t>
            </w:r>
          </w:p>
        </w:tc>
        <w:tc>
          <w:tcPr>
            <w:tcW w:type="dxa" w:w="3898"/>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Built-up growth between two dates, mapped and measured</w:t>
            </w:r>
          </w:p>
        </w:tc>
      </w:tr>
      <w:tr>
        <w:trPr>
          <w:cantSplit/>
        </w:trPr>
        <w:tc>
          <w:tcPr>
            <w:tcW w:type="dxa" w:w="233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ISRO / SAC analysts</w:t>
            </w:r>
          </w:p>
        </w:tc>
        <w:tc>
          <w:tcPr>
            <w:tcW w:type="dxa" w:w="350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Routine questions consume expert time</w:t>
            </w:r>
          </w:p>
        </w:tc>
        <w:tc>
          <w:tcPr>
            <w:tcW w:type="dxa" w:w="3898"/>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Skip manual model selection; inspect exactly which tool ran with which parameters</w:t>
            </w:r>
          </w:p>
        </w:tc>
      </w:tr>
      <w:tr>
        <w:trPr>
          <w:cantSplit/>
        </w:trPr>
        <w:tc>
          <w:tcPr>
            <w:tcW w:type="dxa" w:w="233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Students and researchers</w:t>
            </w:r>
          </w:p>
        </w:tc>
        <w:tc>
          <w:tcPr>
            <w:tcW w:type="dxa" w:w="350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Specialist software barrier</w:t>
            </w:r>
          </w:p>
        </w:tc>
        <w:tc>
          <w:tcPr>
            <w:tcW w:type="dxa" w:w="3898"/>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Remote sensing through plain-language questions</w:t>
            </w:r>
          </w:p>
        </w:tc>
      </w:tr>
    </w:tbl>
    <w:p>
      <w:pPr>
        <w:spacing w:after="160"/>
      </w:pPr>
    </w:p>
    <w:p>
      <w:pPr>
        <w:pStyle w:val="Heading2"/>
      </w:pPr>
      <w:bookmarkStart w:name="bm_impact_benefits" w:id="1"/>
      <w:r>
        <w:t xml:space="preserve">12.2   Benefits</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4"/>
        <w:gridCol w:w="7602"/>
      </w:tblGrid>
      <w:tr>
        <w:trPr>
          <w:tblHeader/>
        </w:trPr>
        <w:tc>
          <w:tcPr>
            <w:tcW w:type="dxa" w:w="2144"/>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Dimension</w:t>
            </w:r>
          </w:p>
        </w:tc>
        <w:tc>
          <w:tcPr>
            <w:tcW w:type="dxa" w:w="7602"/>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Benefit</w:t>
            </w:r>
          </w:p>
        </w:tc>
      </w:tr>
      <w:tr>
        <w:trPr>
          <w:cantSplit/>
        </w:trPr>
        <w:tc>
          <w:tcPr>
            <w:tcW w:type="dxa" w:w="214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b/>
                <w:bCs/>
                <w:sz w:val="19"/>
                <w:szCs w:val="19"/>
              </w:rPr>
              <w:t xml:space="preserve">Social</w:t>
            </w:r>
          </w:p>
        </w:tc>
        <w:tc>
          <w:tcPr>
            <w:tcW w:type="dxa" w:w="7602"/>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Faster, evidence-backed answers in disasters — including through cloud, when optical satellites are blind and decisions are most urgent; wider access to India's space data.</w:t>
            </w:r>
          </w:p>
        </w:tc>
      </w:tr>
      <w:tr>
        <w:trPr>
          <w:cantSplit/>
        </w:trPr>
        <w:tc>
          <w:tcPr>
            <w:tcW w:type="dxa" w:w="214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b/>
                <w:bCs/>
                <w:sz w:val="19"/>
                <w:szCs w:val="19"/>
              </w:rPr>
              <w:t xml:space="preserve">Economic</w:t>
            </w:r>
          </w:p>
        </w:tc>
        <w:tc>
          <w:tcPr>
            <w:tcW w:type="dxa" w:w="7602"/>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Less specialist time per question; open-source stack with no licence cost; trainable on free compute.</w:t>
            </w:r>
          </w:p>
        </w:tc>
      </w:tr>
      <w:tr>
        <w:trPr>
          <w:cantSplit/>
        </w:trPr>
        <w:tc>
          <w:tcPr>
            <w:tcW w:type="dxa" w:w="214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b/>
                <w:bCs/>
                <w:sz w:val="19"/>
                <w:szCs w:val="19"/>
              </w:rPr>
              <w:t xml:space="preserve">Environmental</w:t>
            </w:r>
          </w:p>
        </w:tc>
        <w:tc>
          <w:tcPr>
            <w:tcW w:type="dxa" w:w="7602"/>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Monitoring of vegetation, water bodies and land-use change over time.</w:t>
            </w:r>
          </w:p>
        </w:tc>
      </w:tr>
      <w:tr>
        <w:trPr>
          <w:cantSplit/>
        </w:trPr>
        <w:tc>
          <w:tcPr>
            <w:tcW w:type="dxa" w:w="214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b/>
                <w:bCs/>
                <w:sz w:val="19"/>
                <w:szCs w:val="19"/>
              </w:rPr>
              <w:t xml:space="preserve">Governance</w:t>
            </w:r>
          </w:p>
        </w:tc>
        <w:tc>
          <w:tcPr>
            <w:tcW w:type="dxa" w:w="7602"/>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Every answer traceable to a measurement, with an audit trail — fit for official use where a wrong number stated confidently is worse than no answer.</w:t>
            </w:r>
          </w:p>
        </w:tc>
      </w:tr>
    </w:tbl>
    <w:p>
      <w:pPr>
        <w:spacing w:after="160"/>
      </w:pPr>
    </w:p>
    <w:p>
      <w:pPr>
        <w:pStyle w:val="Heading2"/>
      </w:pPr>
      <w:bookmarkStart w:name="bm_impact_fra" w:id="1"/>
      <w:r>
        <w:t xml:space="preserve">12.3   Application case study — supporting Forest Rights Act claims (proposed extension)</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none" w:color="FFFFFF" w:sz="0"/>
              <w:left w:val="single" w:color="2A78D6" w:sz="30"/>
              <w:bottom w:val="none" w:color="FFFFFF" w:sz="0"/>
              <w:right w:val="none" w:color="FFFFFF" w:sz="0"/>
            </w:tcBorders>
            <w:shd w:fill="EEF4FC" w:color="auto" w:val="clear"/>
            <w:tcMar>
              <w:top w:type="dxa" w:w="120"/>
              <w:left w:type="dxa" w:w="180"/>
              <w:bottom w:type="dxa" w:w="120"/>
              <w:right w:type="dxa" w:w="180"/>
            </w:tcMar>
          </w:tcPr>
          <w:p>
            <w:pPr>
              <w:spacing w:after="60"/>
            </w:pPr>
            <w:r>
              <w:rPr>
                <w:rFonts w:ascii="Segoe UI" w:cs="Segoe UI" w:eastAsia="Segoe UI" w:hAnsi="Segoe UI"/>
                <w:b/>
                <w:bCs/>
                <w:color w:val="0B2545"/>
                <w:spacing w:val="20"/>
                <w:sz w:val="17"/>
                <w:szCs w:val="17"/>
              </w:rPr>
              <w:t xml:space="preserve">STATUS</w:t>
            </w:r>
          </w:p>
          <w:p>
            <w:pPr>
              <w:spacing w:after="0"/>
            </w:pPr>
            <w:r>
              <w:t xml:space="preserve">This is a </w:t>
            </w:r>
            <w:r>
              <w:rPr>
                <w:b/>
                <w:bCs/>
              </w:rPr>
              <w:t xml:space="preserve">proposed application</w:t>
            </w:r>
            <w:r>
              <w:t xml:space="preserve"> of the SatQuery architecture, showing how its evidence-first design serves a real governance need. It is not part of the built system.</w:t>
            </w:r>
          </w:p>
        </w:tc>
      </w:tr>
    </w:tbl>
    <w:p>
      <w:pPr>
        <w:spacing w:after="160"/>
      </w:pPr>
    </w:p>
    <w:p>
      <w:pPr>
        <w:jc w:val="both"/>
      </w:pPr>
      <w:r>
        <w:t xml:space="preserve">The </w:t>
      </w:r>
      <w:r>
        <w:rPr>
          <w:b/>
          <w:bCs/>
        </w:rPr>
        <w:t xml:space="preserve">Forest Rights Act, 2006</w:t>
      </w:r>
      <w:r>
        <w:t xml:space="preserve"> </w:t>
      </w:r>
      <w:hyperlink w:history="1" w:anchor="bm_ref_22">
        <w:r>
          <w:rPr>
            <w:color w:val="2A78D6"/>
          </w:rPr>
          <w:t xml:space="preserve">[22]</w:t>
        </w:r>
      </w:hyperlink>
      <w:r>
        <w:t xml:space="preserve"> recognises the rights of forest-dwelling communities over land occupied </w:t>
      </w:r>
      <w:r>
        <w:rPr>
          <w:b/>
          <w:bCs/>
        </w:rPr>
        <w:t xml:space="preserve">before 13 December 2005</w:t>
      </w:r>
      <w:r>
        <w:t xml:space="preserve">, with appeal through Sub-Divisional and District Level Committees (SDLC / DLC). The </w:t>
      </w:r>
      <w:r>
        <w:rPr>
          <w:b/>
          <w:bCs/>
        </w:rPr>
        <w:t xml:space="preserve">FRA Amendment Rules, 2012</w:t>
      </w:r>
      <w:r>
        <w:t xml:space="preserve"> </w:t>
      </w:r>
      <w:hyperlink w:history="1" w:anchor="bm_ref_23">
        <w:r>
          <w:rPr>
            <w:color w:val="2A78D6"/>
          </w:rPr>
          <w:t xml:space="preserve">[23]</w:t>
        </w:r>
      </w:hyperlink>
      <w:r>
        <w:t xml:space="preserve"> allow satellite imagery to </w:t>
      </w:r>
      <w:r>
        <w:rPr>
          <w:b/>
          <w:bCs/>
        </w:rPr>
        <w:t xml:space="preserve">supplement — not replace —</w:t>
      </w:r>
      <w:r>
        <w:t xml:space="preserve"> other evidence, with the final decision resting with the human authority. The scale of the need is large: the Ministry of Tribal Affairs' March 2026 progress report records </w:t>
      </w:r>
      <w:r>
        <w:rPr>
          <w:b/>
          <w:bCs/>
        </w:rPr>
        <w:t xml:space="preserve">47,901 community forest-rights claims rejected</w:t>
      </w:r>
      <w:r>
        <w:t xml:space="preserve"> nationally </w:t>
      </w:r>
      <w:hyperlink w:history="1" w:anchor="bm_ref_24">
        <w:r>
          <w:rPr>
            <w:color w:val="2A78D6"/>
          </w:rPr>
          <w:t xml:space="preserve">[24]</w:t>
        </w:r>
      </w:hyperlink>
      <w:r>
        <w:t xml:space="preserve">, and the DAJGUA programme commits </w:t>
      </w:r>
      <w:r>
        <w:rPr>
          <w:b/>
          <w:bCs/>
        </w:rPr>
        <w:t xml:space="preserve">₹79,156 crore across 17 ministries</w:t>
      </w:r>
      <w:r>
        <w:t xml:space="preserve"> focused on </w:t>
      </w:r>
      <w:r>
        <w:rPr>
          <w:b/>
          <w:bCs/>
        </w:rPr>
        <w:t xml:space="preserve">22 lakh FRA patta holders</w:t>
      </w:r>
      <w:r>
        <w:t xml:space="preserve"> </w:t>
      </w:r>
      <w:hyperlink w:history="1" w:anchor="bm_ref_25">
        <w:r>
          <w:rPr>
            <w:color w:val="2A78D6"/>
          </w:rPr>
          <w:t xml:space="preserve">[25]</w:t>
        </w:r>
      </w:hyperlink>
      <w:r>
        <w:t xml:space="preserve">.</w:t>
      </w:r>
    </w:p>
    <w:p>
      <w:pPr>
        <w:jc w:val="both"/>
      </w:pPr>
      <w:r>
        <w:t xml:space="preserve">SatQuery's design fits this setting unusually well, because the legal framework demands exactly what ADR-007 enforces — evidence that informs a human decision without replacing it:</w:t>
      </w:r>
    </w:p>
    <w:p>
      <w:pPr>
        <w:keepNext/>
        <w:spacing w:after="0" w:before="120"/>
        <w:jc w:val="center"/>
      </w:pPr>
      <w:r>
        <w:drawing>
          <wp:inline distT="0" distB="0" distL="0" distR="0">
            <wp:extent cx="5153025"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153025" cy="7239000"/>
                    </a:xfrm>
                    <a:prstGeom prst="rect">
                      <a:avLst/>
                    </a:prstGeom>
                  </pic:spPr>
                </pic:pic>
              </a:graphicData>
            </a:graphic>
          </wp:inline>
        </w:drawing>
      </w:r>
    </w:p>
    <w:p>
      <w:pPr>
        <w:keepLines/>
        <w:spacing w:after="220" w:before="60"/>
        <w:jc w:val="center"/>
      </w:pPr>
      <w:r>
        <w:rPr>
          <w:b/>
          <w:bCs/>
          <w:color w:val="0B2545"/>
          <w:sz w:val="17"/>
          <w:szCs w:val="17"/>
        </w:rPr>
        <w:t xml:space="preserve">Figure 32. </w:t>
      </w:r>
      <w:r>
        <w:rPr>
          <w:i/>
          <w:iCs/>
          <w:color w:val="6B7280"/>
          <w:sz w:val="17"/>
          <w:szCs w:val="17"/>
        </w:rPr>
        <w:t xml:space="preserve">Proposed FRA evidence-support workflow: SatQuery supplies a dated, auditable land-cover history; the statutory authority decides.</w:t>
      </w:r>
    </w:p>
    <w:p>
      <w:pPr>
        <w:pStyle w:val="ListParagraph"/>
        <w:numPr>
          <w:ilvl w:val="0"/>
          <w:numId w:val="2"/>
        </w:numPr>
      </w:pPr>
      <w:r>
        <w:rPr>
          <w:b/>
          <w:bCs/>
        </w:rPr>
        <w:t xml:space="preserve">Registry extension, not redesign:</w:t>
      </w:r>
      <w:r>
        <w:t xml:space="preserve"> archive-imagery ingestion and year-of-change tools (LandTrendr, CCDC) become new registry rows.</w:t>
      </w:r>
    </w:p>
    <w:p>
      <w:pPr>
        <w:pStyle w:val="ListParagraph"/>
        <w:numPr>
          <w:ilvl w:val="0"/>
          <w:numId w:val="2"/>
        </w:numPr>
      </w:pPr>
      <w:r>
        <w:rPr>
          <w:b/>
          <w:bCs/>
        </w:rPr>
        <w:t xml:space="preserve">Supplement, not replace:</w:t>
      </w:r>
      <w:r>
        <w:t xml:space="preserve"> the output is an evidence packet with confidence and trace for the committee, never a verdict — matching the 2012 Rules.</w:t>
      </w:r>
    </w:p>
    <w:p>
      <w:pPr>
        <w:pStyle w:val="ListParagraph"/>
        <w:numPr>
          <w:ilvl w:val="0"/>
          <w:numId w:val="2"/>
        </w:numPr>
      </w:pPr>
      <w:r>
        <w:rPr>
          <w:b/>
          <w:bCs/>
        </w:rPr>
        <w:t xml:space="preserve">Abstention protects claimants:</w:t>
      </w:r>
      <w:r>
        <w:t xml:space="preserve"> where imagery cannot establish the history, the system says so rather than producing a confident negative that could wrongly count against a claim.</w:t>
      </w:r>
    </w:p>
    <w:p>
      <w:pPr>
        <w:pStyle w:val="Heading1"/>
        <w:pageBreakBefore/>
        <w:pBdr>
          <w:bottom w:val="single" w:color="0B2545" w:sz="18" w:space="4"/>
        </w:pBdr>
      </w:pPr>
      <w:bookmarkStart w:name="bm_adr" w:id="1"/>
      <w:r>
        <w:t xml:space="preserve">13   Key Design Decisions</w:t>
      </w:r>
      <w:bookmarkEnd w:id="1"/>
    </w:p>
    <w:p>
      <w:pPr>
        <w:jc w:val="both"/>
      </w:pPr>
      <w:r>
        <w:t xml:space="preserve">Every contested, non-obvious or expensive-to-reverse choice is recorded as an Architecture Decision Record (ADR) with the alternatives that were rejected. They double as answers to “why not …?” questions.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80"/>
        <w:gridCol w:w="3509"/>
        <w:gridCol w:w="5457"/>
      </w:tblGrid>
      <w:tr>
        <w:trPr>
          <w:tblHeader/>
        </w:trPr>
        <w:tc>
          <w:tcPr>
            <w:tcW w:type="dxa" w:w="780"/>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ADR</w:t>
            </w:r>
          </w:p>
        </w:tc>
        <w:tc>
          <w:tcPr>
            <w:tcW w:type="dxa" w:w="3509"/>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Decision</w:t>
            </w:r>
          </w:p>
        </w:tc>
        <w:tc>
          <w:tcPr>
            <w:tcW w:type="dxa" w:w="5457"/>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Main alternative rejected, and why</w:t>
            </w:r>
          </w:p>
        </w:tc>
      </w:tr>
      <w:tr>
        <w:trPr>
          <w:cantSplit/>
        </w:trPr>
        <w:tc>
          <w:tcPr>
            <w:tcW w:type="dxa" w:w="780"/>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001</w:t>
            </w:r>
          </w:p>
        </w:tc>
        <w:tc>
          <w:tcPr>
            <w:tcW w:type="dxa" w:w="350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One frozen base VLM, swappable LoRA adapters</w:t>
            </w:r>
          </w:p>
        </w:tc>
        <w:tc>
          <w:tcPr>
            <w:tcW w:type="dxa" w:w="5457"/>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Four fully fine-tuned models: ~60 GB GPU memory, four full training runs, no per-capability ablation</w:t>
            </w:r>
          </w:p>
        </w:tc>
      </w:tr>
      <w:tr>
        <w:trPr>
          <w:cantSplit/>
        </w:trPr>
        <w:tc>
          <w:tcPr>
            <w:tcW w:type="dxa" w:w="780"/>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002</w:t>
            </w:r>
          </w:p>
        </w:tc>
        <w:tc>
          <w:tcPr>
            <w:tcW w:type="dxa" w:w="350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Grounding, not captioning, as the second single-image task</w:t>
            </w:r>
          </w:p>
        </w:tc>
        <w:tc>
          <w:tcPr>
            <w:tcW w:type="dxa" w:w="5457"/>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Captioning: slow to verify, produces nothing the map can use, scored by word-overlap metrics</w:t>
            </w:r>
          </w:p>
        </w:tc>
      </w:tr>
      <w:tr>
        <w:trPr>
          <w:cantSplit/>
        </w:trPr>
        <w:tc>
          <w:tcPr>
            <w:tcW w:type="dxa" w:w="780"/>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003</w:t>
            </w:r>
          </w:p>
        </w:tc>
        <w:tc>
          <w:tcPr>
            <w:tcW w:type="dxa" w:w="350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SAR gets its own processing path</w:t>
            </w:r>
          </w:p>
        </w:tc>
        <w:tc>
          <w:tcPr>
            <w:tcW w:type="dxa" w:w="5457"/>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SAR as a greyscale PNG into an optical model: reads backscatter as brightness, no speckle prior</w:t>
            </w:r>
          </w:p>
        </w:tc>
      </w:tr>
      <w:tr>
        <w:trPr>
          <w:cantSplit/>
        </w:trPr>
        <w:tc>
          <w:tcPr>
            <w:tcW w:type="dxa" w:w="780"/>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004</w:t>
            </w:r>
          </w:p>
        </w:tc>
        <w:tc>
          <w:tcPr>
            <w:tcW w:type="dxa" w:w="350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Plain Python router, not an agent framework</w:t>
            </w:r>
          </w:p>
        </w:tc>
        <w:tc>
          <w:tcPr>
            <w:tcW w:type="dxa" w:w="5457"/>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LangGraph-style framework: built for capability, but the PS asks for constraint; hides the judged component</w:t>
            </w:r>
          </w:p>
        </w:tc>
      </w:tr>
      <w:tr>
        <w:trPr>
          <w:cantSplit/>
        </w:trPr>
        <w:tc>
          <w:tcPr>
            <w:tcW w:type="dxa" w:w="780"/>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005</w:t>
            </w:r>
          </w:p>
        </w:tc>
        <w:tc>
          <w:tcPr>
            <w:tcW w:type="dxa" w:w="350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Late fusion for optical–SAR</w:t>
            </w:r>
          </w:p>
        </w:tc>
        <w:tc>
          <w:tcPr>
            <w:tcW w:type="dxa" w:w="5457"/>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Feature-level / cross-attention fusion: destroys the “optical said X, SAR said Y” separability the ablation needs</w:t>
            </w:r>
          </w:p>
        </w:tc>
      </w:tr>
      <w:tr>
        <w:trPr>
          <w:cantSplit/>
        </w:trPr>
        <w:tc>
          <w:tcPr>
            <w:tcW w:type="dxa" w:w="780"/>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006</w:t>
            </w:r>
          </w:p>
        </w:tc>
        <w:tc>
          <w:tcPr>
            <w:tcW w:type="dxa" w:w="350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Geographic tile-level splits, never random</w:t>
            </w:r>
          </w:p>
        </w:tc>
        <w:tc>
          <w:tcPr>
            <w:tcW w:type="dxa" w:w="5457"/>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Random 80/10/10: neighbouring tiles leak; measures memorisation</w:t>
            </w:r>
          </w:p>
        </w:tc>
      </w:tr>
      <w:tr>
        <w:trPr>
          <w:cantSplit/>
        </w:trPr>
        <w:tc>
          <w:tcPr>
            <w:tcW w:type="dxa" w:w="780"/>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007</w:t>
            </w:r>
          </w:p>
        </w:tc>
        <w:tc>
          <w:tcPr>
            <w:tcW w:type="dxa" w:w="350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The language layer phrases validated evidence only</w:t>
            </w:r>
          </w:p>
        </w:tc>
        <w:tc>
          <w:tcPr>
            <w:tcW w:type="dxa" w:w="5457"/>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End-to-end VLM generation: no meaningful confidence, no abstention, no audit trail</w:t>
            </w:r>
          </w:p>
        </w:tc>
      </w:tr>
      <w:tr>
        <w:trPr>
          <w:cantSplit/>
        </w:trPr>
        <w:tc>
          <w:tcPr>
            <w:tcW w:type="dxa" w:w="780"/>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008</w:t>
            </w:r>
          </w:p>
        </w:tc>
        <w:tc>
          <w:tcPr>
            <w:tcW w:type="dxa" w:w="350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Show the execution trace, hide chain-of-thought</w:t>
            </w:r>
          </w:p>
        </w:tc>
        <w:tc>
          <w:tcPr>
            <w:tcW w:type="dxa" w:w="5457"/>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Streaming reasoning: explicitly not evaluated, adds latency, invites attack</w:t>
            </w:r>
          </w:p>
        </w:tc>
      </w:tr>
      <w:tr>
        <w:trPr>
          <w:cantSplit/>
        </w:trPr>
        <w:tc>
          <w:tcPr>
            <w:tcW w:type="dxa" w:w="780"/>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009</w:t>
            </w:r>
          </w:p>
        </w:tc>
        <w:tc>
          <w:tcPr>
            <w:tcW w:type="dxa" w:w="3509"/>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PostgreSQL + PostGIS; rasters in object storage (proposed)</w:t>
            </w:r>
          </w:p>
        </w:tc>
        <w:tc>
          <w:tcPr>
            <w:tcW w:type="dxa" w:w="5457"/>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MongoDB: weaker geospatial support; rasters as blobs: bloats everything</w:t>
            </w:r>
          </w:p>
        </w:tc>
      </w:tr>
      <w:tr>
        <w:trPr>
          <w:cantSplit/>
        </w:trPr>
        <w:tc>
          <w:tcPr>
            <w:tcW w:type="dxa" w:w="780"/>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010</w:t>
            </w:r>
          </w:p>
        </w:tc>
        <w:tc>
          <w:tcPr>
            <w:tcW w:type="dxa" w:w="3509"/>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Base model chosen by benchmark, not reputation</w:t>
            </w:r>
          </w:p>
        </w:tc>
        <w:tc>
          <w:tcPr>
            <w:tcW w:type="dxa" w:w="5457"/>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Pick GeoChat by reputation: it could not even be loaded on current libraries</w:t>
            </w:r>
          </w:p>
        </w:tc>
      </w:tr>
    </w:tbl>
    <w:p>
      <w:pPr>
        <w:spacing w:after="160"/>
      </w:pPr>
    </w:p>
    <w:p>
      <w:pPr>
        <w:pStyle w:val="Heading2"/>
      </w:pPr>
      <w:bookmarkStart w:name="bm_adr_honesty" w:id="1"/>
      <w:r>
        <w:t xml:space="preserve">13.1   What is real and what is simulated</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4"/>
        <w:gridCol w:w="7602"/>
      </w:tblGrid>
      <w:tr>
        <w:trPr>
          <w:tblHeader/>
        </w:trPr>
        <w:tc>
          <w:tcPr>
            <w:tcW w:type="dxa" w:w="2144"/>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Category</w:t>
            </w:r>
          </w:p>
        </w:tc>
        <w:tc>
          <w:tcPr>
            <w:tcW w:type="dxa" w:w="7602"/>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What</w:t>
            </w:r>
          </w:p>
        </w:tc>
      </w:tr>
      <w:tr>
        <w:trPr>
          <w:cantSplit/>
        </w:trPr>
        <w:tc>
          <w:tcPr>
            <w:tcW w:type="dxa" w:w="214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b/>
                <w:bCs/>
                <w:sz w:val="19"/>
                <w:szCs w:val="19"/>
              </w:rPr>
              <w:t xml:space="preserve">Real</w:t>
            </w:r>
          </w:p>
        </w:tc>
        <w:tc>
          <w:tcPr>
            <w:tcW w:type="dxa" w:w="7602"/>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Every algorithm that reads pixels: Lee speckle filter, multi-level Otsu, connected components, change vector analysis, NDVI/NDWI, phase-correlation co-registration, inverse geotransform, the router's classify–validate–select–sequence–execute cycle, and the confidence gate. Uploaded GeoTIFFs are analysed as supplied.</w:t>
            </w:r>
          </w:p>
        </w:tc>
      </w:tr>
      <w:tr>
        <w:trPr>
          <w:cantSplit/>
        </w:trPr>
        <w:tc>
          <w:tcPr>
            <w:tcW w:type="dxa" w:w="214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b/>
                <w:bCs/>
                <w:sz w:val="19"/>
                <w:szCs w:val="19"/>
              </w:rPr>
              <w:t xml:space="preserve">Trained</w:t>
            </w:r>
          </w:p>
        </w:tc>
        <w:tc>
          <w:tcPr>
            <w:tcW w:type="dxa" w:w="7602"/>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M1 — the QLoRA adapter on Qwen2-VL-7B, measured at 0.660 on held-out VRSBench.</w:t>
            </w:r>
          </w:p>
        </w:tc>
      </w:tr>
      <w:tr>
        <w:trPr>
          <w:cantSplit/>
        </w:trPr>
        <w:tc>
          <w:tcPr>
            <w:tcW w:type="dxa" w:w="214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b/>
                <w:bCs/>
                <w:sz w:val="19"/>
                <w:szCs w:val="19"/>
              </w:rPr>
              <w:t xml:space="preserve">Synthetic</w:t>
            </w:r>
          </w:p>
        </w:tc>
        <w:tc>
          <w:tcPr>
            <w:tcW w:type="dxa" w:w="7602"/>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Pixel values of the built-in demo scenes, because Cartosat-2S and RISAT imagery cannot be obtained and the ISRO/SAC set is undisclosed.</w:t>
            </w:r>
          </w:p>
        </w:tc>
      </w:tr>
      <w:tr>
        <w:trPr>
          <w:cantSplit/>
        </w:trPr>
        <w:tc>
          <w:tcPr>
            <w:tcW w:type="dxa" w:w="214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b/>
                <w:bCs/>
                <w:sz w:val="19"/>
                <w:szCs w:val="19"/>
              </w:rPr>
              <w:t xml:space="preserve">Constructed on purpose</w:t>
            </w:r>
          </w:p>
        </w:tc>
        <w:tc>
          <w:tcPr>
            <w:tcW w:type="dxa" w:w="7602"/>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The cloud placement over the settlement in the cross-modal scene — the case where the sensors genuinely differ.</w:t>
            </w:r>
          </w:p>
        </w:tc>
      </w:tr>
      <w:tr>
        <w:trPr>
          <w:cantSplit/>
        </w:trPr>
        <w:tc>
          <w:tcPr>
            <w:tcW w:type="dxa" w:w="214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b/>
                <w:bCs/>
                <w:sz w:val="19"/>
                <w:szCs w:val="19"/>
              </w:rPr>
              <w:t xml:space="preserve">Planned</w:t>
            </w:r>
          </w:p>
        </w:tc>
        <w:tc>
          <w:tcPr>
            <w:tcW w:type="dxa" w:w="7602"/>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M2 grounding, M3 change and M4 SAR adapters; RSVQA/CDVQA loaders; trained router classifier.</w:t>
            </w:r>
          </w:p>
        </w:tc>
      </w:tr>
    </w:tbl>
    <w:p>
      <w:pPr>
        <w:pStyle w:val="Heading1"/>
        <w:pageBreakBefore/>
        <w:pBdr>
          <w:bottom w:val="single" w:color="0B2545" w:sz="18" w:space="4"/>
        </w:pBdr>
      </w:pPr>
      <w:bookmarkStart w:name="bm_team" w:id="1"/>
      <w:r>
        <w:t xml:space="preserve">14   Team BUGHEBUG</w:t>
      </w:r>
      <w:bookmarkEnd w:id="1"/>
    </w:p>
    <w:p>
      <w:pPr>
        <w:jc w:val="both"/>
      </w:pPr>
      <w:r>
        <w:t xml:space="preserve">The work is split along the architecture's own seam: the model runtime is the only GPU-bound unit and sits behind a defined adapter-pack contract, so the two halves meet in one agreed place.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24"/>
        <w:gridCol w:w="6822"/>
      </w:tblGrid>
      <w:tr>
        <w:trPr>
          <w:tblHeader/>
        </w:trPr>
        <w:tc>
          <w:tcPr>
            <w:tcW w:type="dxa" w:w="2924"/>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Area</w:t>
            </w:r>
          </w:p>
        </w:tc>
        <w:tc>
          <w:tcPr>
            <w:tcW w:type="dxa" w:w="6822"/>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Responsibilities</w:t>
            </w:r>
          </w:p>
        </w:tc>
      </w:tr>
      <w:tr>
        <w:trPr>
          <w:cantSplit/>
        </w:trPr>
        <w:tc>
          <w:tcPr>
            <w:tcW w:type="dxa" w:w="292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b/>
                <w:bCs/>
                <w:sz w:val="19"/>
                <w:szCs w:val="19"/>
              </w:rPr>
              <w:t xml:space="preserve">Models and training</w:t>
            </w:r>
            <w:r>
              <w:rPr>
                <w:sz w:val="19"/>
                <w:szCs w:val="19"/>
              </w:rPr>
              <w:t xml:space="preserve"> (Mridul)</w:t>
            </w:r>
          </w:p>
        </w:tc>
        <w:tc>
          <w:tcPr>
            <w:tcW w:type="dxa" w:w="6822"/>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Base-model benchmark and selection; M1 training and the measured adaptation gain; later M2–M4; data preparation, splits and licences; benchmark runs; quantisation for the venue</w:t>
            </w:r>
          </w:p>
        </w:tc>
      </w:tr>
      <w:tr>
        <w:trPr>
          <w:cantSplit/>
        </w:trPr>
        <w:tc>
          <w:tcPr>
            <w:tcW w:type="dxa" w:w="292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b/>
                <w:bCs/>
                <w:sz w:val="19"/>
                <w:szCs w:val="19"/>
              </w:rPr>
              <w:t xml:space="preserve">Systems, orchestration and interface</w:t>
            </w:r>
            <w:r>
              <w:rPr>
                <w:sz w:val="19"/>
                <w:szCs w:val="19"/>
              </w:rPr>
              <w:t xml:space="preserve"> (Shreyash)</w:t>
            </w:r>
          </w:p>
        </w:tc>
        <w:tc>
          <w:tcPr>
            <w:tcW w:type="dxa" w:w="6822"/>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Ingestion, upload, validation and refusal; router and registry; evidence layer, confidence gate, answer layer and trace; API, reports and GeoJSON; web application; evaluation harness and ablation integrity; venue deployment and fallback</w:t>
            </w:r>
          </w:p>
        </w:tc>
      </w:tr>
    </w:tbl>
    <w:p>
      <w:pPr>
        <w:spacing w:after="160"/>
      </w:pPr>
    </w:p>
    <w:p>
      <w:pPr>
        <w:pStyle w:val="Heading2"/>
      </w:pPr>
      <w:bookmarkStart w:name="bm_team_qa" w:id="1"/>
      <w:r>
        <w:t xml:space="preserve">14.1   Anticipated questions</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24"/>
        <w:gridCol w:w="6822"/>
      </w:tblGrid>
      <w:tr>
        <w:trPr>
          <w:tblHeader/>
        </w:trPr>
        <w:tc>
          <w:tcPr>
            <w:tcW w:type="dxa" w:w="2924"/>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Question</w:t>
            </w:r>
          </w:p>
        </w:tc>
        <w:tc>
          <w:tcPr>
            <w:tcW w:type="dxa" w:w="6822"/>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Answer</w:t>
            </w:r>
          </w:p>
        </w:tc>
      </w:tr>
      <w:tr>
        <w:trPr>
          <w:cantSplit/>
        </w:trPr>
        <w:tc>
          <w:tcPr>
            <w:tcW w:type="dxa" w:w="292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Why not just use GPT-4V?</w:t>
            </w:r>
          </w:p>
        </w:tc>
        <w:tc>
          <w:tcPr>
            <w:tcW w:type="dxa" w:w="6822"/>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The PS disqualifies a generic model without remote-sensing adaptation; it needs the internet; and it can invent numbers — our architecture structurally cannot (ADR-007).</w:t>
            </w:r>
          </w:p>
        </w:tc>
      </w:tr>
      <w:tr>
        <w:trPr>
          <w:cantSplit/>
        </w:trPr>
        <w:tc>
          <w:tcPr>
            <w:tcW w:type="dxa" w:w="292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Where is your fine-tuning?</w:t>
            </w:r>
          </w:p>
        </w:tc>
        <w:tc>
          <w:tcPr>
            <w:tcW w:type="dxa" w:w="6822"/>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M1: QLoRA on Qwen2-VL-7B, VRSBench, 0.527 → 0.660 on 2,000 held-out items, p = 1.2e-35, zero train/val overlap (§4).</w:t>
            </w:r>
          </w:p>
        </w:tc>
      </w:tr>
      <w:tr>
        <w:trPr>
          <w:cantSplit/>
        </w:trPr>
        <w:tc>
          <w:tcPr>
            <w:tcW w:type="dxa" w:w="292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How do you know the confidence is honest?</w:t>
            </w:r>
          </w:p>
        </w:tc>
        <w:tc>
          <w:tcPr>
            <w:tcW w:type="dxa" w:w="6822"/>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Calibration is measured; accuracy rises with confidence in every band, and the 0.45 gate was chosen from data (§4.7).</w:t>
            </w:r>
          </w:p>
        </w:tc>
      </w:tr>
      <w:tr>
        <w:trPr>
          <w:cantSplit/>
        </w:trPr>
        <w:tc>
          <w:tcPr>
            <w:tcW w:type="dxa" w:w="292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Is this real imagery?</w:t>
            </w:r>
          </w:p>
        </w:tc>
        <w:tc>
          <w:tcPr>
            <w:tcW w:type="dxa" w:w="6822"/>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Demo scenes are synthetic and disclosed on screen; every algorithm is real; M1 is shown on real VRSBench photographs; uploads accept real GeoTIFFs.</w:t>
            </w:r>
          </w:p>
        </w:tc>
      </w:tr>
      <w:tr>
        <w:trPr>
          <w:cantSplit/>
        </w:trPr>
        <w:tc>
          <w:tcPr>
            <w:tcW w:type="dxa" w:w="292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What is “agentic” here?</w:t>
            </w:r>
          </w:p>
        </w:tc>
        <w:tc>
          <w:tcPr>
            <w:tcW w:type="dxa" w:w="6822"/>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Classify → validate → select from a fixed registry → sequence → execute with permitted parameters, all in the trace (§3.4).</w:t>
            </w:r>
          </w:p>
        </w:tc>
      </w:tr>
      <w:tr>
        <w:trPr>
          <w:cantSplit/>
        </w:trPr>
        <w:tc>
          <w:tcPr>
            <w:tcW w:type="dxa" w:w="292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Why show no reasoning?</w:t>
            </w:r>
          </w:p>
        </w:tc>
        <w:tc>
          <w:tcPr>
            <w:tcW w:type="dxa" w:w="6822"/>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ISRO scores only the observable trace and says reasoning text is “neither required nor evaluated” (ADR-008).</w:t>
            </w:r>
          </w:p>
        </w:tc>
      </w:tr>
      <w:tr>
        <w:trPr>
          <w:cantSplit/>
        </w:trPr>
        <w:tc>
          <w:tcPr>
            <w:tcW w:type="dxa" w:w="292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What if the sensors disagree?</w:t>
            </w:r>
          </w:p>
        </w:tc>
        <w:tc>
          <w:tcPr>
            <w:tcW w:type="dxa" w:w="6822"/>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The conflict is recorded in the evidence and confidence is reduced — never silently resolved.</w:t>
            </w:r>
          </w:p>
        </w:tc>
      </w:tr>
      <w:tr>
        <w:trPr>
          <w:cantSplit/>
        </w:trPr>
        <w:tc>
          <w:tcPr>
            <w:tcW w:type="dxa" w:w="292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How will it handle the hidden ISRO data?</w:t>
            </w:r>
          </w:p>
        </w:tc>
        <w:tc>
          <w:tcPr>
            <w:tcW w:type="dxa" w:w="6822"/>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Official and geographic splits, input validation, calibrated confidence and abstention — built for data we have not seen.</w:t>
            </w:r>
          </w:p>
        </w:tc>
      </w:tr>
    </w:tbl>
    <w:p>
      <w:pPr>
        <w:pStyle w:val="Heading1"/>
        <w:pageBreakBefore/>
        <w:pBdr>
          <w:bottom w:val="single" w:color="0B2545" w:sz="18" w:space="4"/>
        </w:pBdr>
      </w:pPr>
      <w:bookmarkStart w:name="bm_refs" w:id="1"/>
      <w:r>
        <w:t xml:space="preserve">15   Research and References</w:t>
      </w:r>
      <w:bookmarkEnd w:id="1"/>
    </w:p>
    <w:p>
      <w:pPr>
        <w:pStyle w:val="Heading3"/>
      </w:pPr>
      <w:r>
        <w:t xml:space="preserve">Datasets</w:t>
      </w:r>
    </w:p>
    <w:p>
      <w:pPr>
        <w:keepNext/>
        <w:keepLines/>
        <w:tabs>
          <w:tab w:val="left" w:pos="620"/>
        </w:tabs>
        <w:spacing w:after="20"/>
        <w:ind w:left="620" w:hanging="620"/>
      </w:pPr>
      <w:bookmarkStart w:name="bm_ref_1" w:id="1"/>
      <w:r>
        <w:rPr>
          <w:b/>
          <w:bCs/>
          <w:color w:val="0B2545"/>
        </w:rPr>
        <w:t xml:space="preserve">[1]</w:t>
      </w:r>
      <w:bookmarkEnd w:id="1"/>
      <w:r>
        <w:t xml:space="preserve">	</w:t>
      </w:r>
      <w:r>
        <w:rPr>
          <w:sz w:val="19"/>
          <w:szCs w:val="19"/>
        </w:rPr>
        <w:t xml:space="preserve">BigEarthNet.txt — Large-Scale Multi-Sensor Image-Text Dataset. BIFOLD / TU Berlin, 2026. 464,044 Sentinel-1/Sentinel-2 image pairs · 9.6M text annotations.</w:t>
      </w:r>
    </w:p>
    <w:p>
      <w:pPr>
        <w:keepNext/>
        <w:spacing w:after="20"/>
        <w:ind w:left="620"/>
      </w:pPr>
      <w:r>
        <w:rPr>
          <w:color w:val="1E7B34"/>
          <w:sz w:val="18"/>
          <w:szCs w:val="18"/>
        </w:rPr>
        <w:t xml:space="preserve">→ Our adaptation set</w:t>
      </w:r>
    </w:p>
    <w:p>
      <w:pPr>
        <w:spacing w:after="130"/>
        <w:ind w:left="620"/>
      </w:pPr>
      <w:hyperlink w:history="1" r:id="rIde0wgnfbpvqrk0tmikhbdi">
        <w:r>
          <w:rPr>
            <w:color w:val="2A78D6"/>
            <w:sz w:val="17"/>
            <w:szCs w:val="17"/>
            <w:u w:val="single"/>
          </w:rPr>
          <w:t xml:space="preserve">https://arxiv.org/abs/2603.29630</w:t>
        </w:r>
      </w:hyperlink>
    </w:p>
    <w:p>
      <w:pPr>
        <w:keepNext/>
        <w:keepLines/>
        <w:tabs>
          <w:tab w:val="left" w:pos="620"/>
        </w:tabs>
        <w:spacing w:after="20"/>
        <w:ind w:left="620" w:hanging="620"/>
      </w:pPr>
      <w:bookmarkStart w:name="bm_ref_2" w:id="1"/>
      <w:r>
        <w:rPr>
          <w:b/>
          <w:bCs/>
          <w:color w:val="0B2545"/>
        </w:rPr>
        <w:t xml:space="preserve">[2]</w:t>
      </w:r>
      <w:bookmarkEnd w:id="1"/>
      <w:r>
        <w:t xml:space="preserve">	</w:t>
      </w:r>
      <w:r>
        <w:rPr>
          <w:sz w:val="19"/>
          <w:szCs w:val="19"/>
        </w:rPr>
        <w:t xml:space="preserve">BigEarthNet.txt — Project Portal. Official project portal for the BigEarthNet.txt dataset.</w:t>
      </w:r>
    </w:p>
    <w:p>
      <w:pPr>
        <w:spacing w:after="130"/>
        <w:ind w:left="620"/>
      </w:pPr>
      <w:hyperlink w:history="1" r:id="rIdyiixeosqtpbgs5qywzeup">
        <w:r>
          <w:rPr>
            <w:color w:val="2A78D6"/>
            <w:sz w:val="17"/>
            <w:szCs w:val="17"/>
            <w:u w:val="single"/>
          </w:rPr>
          <w:t xml:space="preserve">https://txt.bigearth.net/</w:t>
        </w:r>
      </w:hyperlink>
    </w:p>
    <w:p>
      <w:pPr>
        <w:keepNext/>
        <w:keepLines/>
        <w:tabs>
          <w:tab w:val="left" w:pos="620"/>
        </w:tabs>
        <w:spacing w:after="20"/>
        <w:ind w:left="620" w:hanging="620"/>
      </w:pPr>
      <w:bookmarkStart w:name="bm_ref_3" w:id="1"/>
      <w:r>
        <w:rPr>
          <w:b/>
          <w:bCs/>
          <w:color w:val="0B2545"/>
        </w:rPr>
        <w:t xml:space="preserve">[3]</w:t>
      </w:r>
      <w:bookmarkEnd w:id="1"/>
      <w:r>
        <w:t xml:space="preserve">	</w:t>
      </w:r>
      <w:r>
        <w:rPr>
          <w:sz w:val="19"/>
          <w:szCs w:val="19"/>
        </w:rPr>
        <w:t xml:space="preserve">BigEarthNet.txt — Hugging Face Dataset Card. BIFOLD-BigEarthNetv2-0 dataset resource.</w:t>
      </w:r>
    </w:p>
    <w:p>
      <w:pPr>
        <w:spacing w:after="130"/>
        <w:ind w:left="620"/>
      </w:pPr>
      <w:hyperlink w:history="1" r:id="rIdnuvulcta1ixomfjgazc-s">
        <w:r>
          <w:rPr>
            <w:color w:val="2A78D6"/>
            <w:sz w:val="17"/>
            <w:szCs w:val="17"/>
            <w:u w:val="single"/>
          </w:rPr>
          <w:t xml:space="preserve">https://huggingface.co/datasets/BIFOLD-BigEarthNetv2-0/BigEarthNet.txt</w:t>
        </w:r>
      </w:hyperlink>
    </w:p>
    <w:p>
      <w:pPr>
        <w:keepNext/>
        <w:keepLines/>
        <w:tabs>
          <w:tab w:val="left" w:pos="620"/>
        </w:tabs>
        <w:spacing w:after="20"/>
        <w:ind w:left="620" w:hanging="620"/>
      </w:pPr>
      <w:bookmarkStart w:name="bm_ref_4" w:id="1"/>
      <w:r>
        <w:rPr>
          <w:b/>
          <w:bCs/>
          <w:color w:val="0B2545"/>
        </w:rPr>
        <w:t xml:space="preserve">[4]</w:t>
      </w:r>
      <w:bookmarkEnd w:id="1"/>
      <w:r>
        <w:t xml:space="preserve">	</w:t>
      </w:r>
      <w:r>
        <w:rPr>
          <w:sz w:val="19"/>
          <w:szCs w:val="19"/>
        </w:rPr>
        <w:t xml:space="preserve">VRSBench — NeurIPS 2024. 29,614 images · 123,221 VQA.</w:t>
      </w:r>
    </w:p>
    <w:p>
      <w:pPr>
        <w:keepNext/>
        <w:spacing w:after="20"/>
        <w:ind w:left="620"/>
      </w:pPr>
      <w:r>
        <w:rPr>
          <w:color w:val="1E7B34"/>
          <w:sz w:val="18"/>
          <w:szCs w:val="18"/>
        </w:rPr>
        <w:t xml:space="preserve">→ Single-image benchmark; M1 training and evaluation corpus</w:t>
      </w:r>
    </w:p>
    <w:p>
      <w:pPr>
        <w:spacing w:after="130"/>
        <w:ind w:left="620"/>
      </w:pPr>
      <w:hyperlink w:history="1" r:id="rIdmjgfpwyt79a8-vw4sn0rd">
        <w:r>
          <w:rPr>
            <w:color w:val="2A78D6"/>
            <w:sz w:val="17"/>
            <w:szCs w:val="17"/>
            <w:u w:val="single"/>
          </w:rPr>
          <w:t xml:space="preserve">https://github.com/lx709/VRSBench</w:t>
        </w:r>
      </w:hyperlink>
    </w:p>
    <w:p>
      <w:pPr>
        <w:keepNext/>
        <w:keepLines/>
        <w:tabs>
          <w:tab w:val="left" w:pos="620"/>
        </w:tabs>
        <w:spacing w:after="20"/>
        <w:ind w:left="620" w:hanging="620"/>
      </w:pPr>
      <w:bookmarkStart w:name="bm_ref_5" w:id="1"/>
      <w:r>
        <w:rPr>
          <w:b/>
          <w:bCs/>
          <w:color w:val="0B2545"/>
        </w:rPr>
        <w:t xml:space="preserve">[5]</w:t>
      </w:r>
      <w:bookmarkEnd w:id="1"/>
      <w:r>
        <w:t xml:space="preserve">	</w:t>
      </w:r>
      <w:r>
        <w:rPr>
          <w:sz w:val="19"/>
          <w:szCs w:val="19"/>
        </w:rPr>
        <w:t xml:space="preserve">S. Lobry et al., RSVQA: Visual Question Answering for Remote Sensing Data — IEEE TGRS 2020. 772 images · 77,232 QA.</w:t>
      </w:r>
    </w:p>
    <w:p>
      <w:pPr>
        <w:keepNext/>
        <w:spacing w:after="20"/>
        <w:ind w:left="620"/>
      </w:pPr>
      <w:r>
        <w:rPr>
          <w:color w:val="1E7B34"/>
          <w:sz w:val="18"/>
          <w:szCs w:val="18"/>
        </w:rPr>
        <w:t xml:space="preserve">→ VQA sanity check</w:t>
      </w:r>
    </w:p>
    <w:p>
      <w:pPr>
        <w:spacing w:after="130"/>
        <w:ind w:left="620"/>
      </w:pPr>
      <w:hyperlink w:history="1" r:id="rIdesu6c3upzqjxkhn8k-aey">
        <w:r>
          <w:rPr>
            <w:color w:val="2A78D6"/>
            <w:sz w:val="17"/>
            <w:szCs w:val="17"/>
            <w:u w:val="single"/>
          </w:rPr>
          <w:t xml:space="preserve">https://arxiv.org/abs/2003.07333</w:t>
        </w:r>
      </w:hyperlink>
    </w:p>
    <w:p>
      <w:pPr>
        <w:keepNext/>
        <w:keepLines/>
        <w:tabs>
          <w:tab w:val="left" w:pos="620"/>
        </w:tabs>
        <w:spacing w:after="20"/>
        <w:ind w:left="620" w:hanging="620"/>
      </w:pPr>
      <w:bookmarkStart w:name="bm_ref_6" w:id="1"/>
      <w:r>
        <w:rPr>
          <w:b/>
          <w:bCs/>
          <w:color w:val="0B2545"/>
        </w:rPr>
        <w:t xml:space="preserve">[6]</w:t>
      </w:r>
      <w:bookmarkEnd w:id="1"/>
      <w:r>
        <w:t xml:space="preserve">	</w:t>
      </w:r>
      <w:r>
        <w:rPr>
          <w:sz w:val="19"/>
          <w:szCs w:val="19"/>
        </w:rPr>
        <w:t xml:space="preserve">RSVQA Dataset Portal. LR + HR dataset resources.</w:t>
      </w:r>
    </w:p>
    <w:p>
      <w:pPr>
        <w:spacing w:after="130"/>
        <w:ind w:left="620"/>
      </w:pPr>
      <w:hyperlink w:history="1" r:id="rIdp6o79itfawmnmbc06i6b4">
        <w:r>
          <w:rPr>
            <w:color w:val="2A78D6"/>
            <w:sz w:val="17"/>
            <w:szCs w:val="17"/>
            <w:u w:val="single"/>
          </w:rPr>
          <w:t xml:space="preserve">https://rsvqa.sylvainlobry.com/</w:t>
        </w:r>
      </w:hyperlink>
    </w:p>
    <w:p>
      <w:pPr>
        <w:keepNext/>
        <w:keepLines/>
        <w:tabs>
          <w:tab w:val="left" w:pos="620"/>
        </w:tabs>
        <w:spacing w:after="20"/>
        <w:ind w:left="620" w:hanging="620"/>
      </w:pPr>
      <w:bookmarkStart w:name="bm_ref_7" w:id="1"/>
      <w:r>
        <w:rPr>
          <w:b/>
          <w:bCs/>
          <w:color w:val="0B2545"/>
        </w:rPr>
        <w:t xml:space="preserve">[7]</w:t>
      </w:r>
      <w:bookmarkEnd w:id="1"/>
      <w:r>
        <w:t xml:space="preserve">	</w:t>
      </w:r>
      <w:r>
        <w:rPr>
          <w:sz w:val="19"/>
          <w:szCs w:val="19"/>
        </w:rPr>
        <w:t xml:space="preserve">CDVQA — Change Detection Meets Visual Question Answering. IEEE TGRS, 2022. 2,968 image pairs · 122k QA.</w:t>
      </w:r>
    </w:p>
    <w:p>
      <w:pPr>
        <w:keepNext/>
        <w:spacing w:after="20"/>
        <w:ind w:left="620"/>
      </w:pPr>
      <w:r>
        <w:rPr>
          <w:color w:val="1E7B34"/>
          <w:sz w:val="18"/>
          <w:szCs w:val="18"/>
        </w:rPr>
        <w:t xml:space="preserve">→ Bi-temporal benchmark</w:t>
      </w:r>
    </w:p>
    <w:p>
      <w:pPr>
        <w:spacing w:after="130"/>
        <w:ind w:left="620"/>
      </w:pPr>
      <w:hyperlink w:history="1" r:id="rIdx1gjgbudj65n2qpjcsl8c">
        <w:r>
          <w:rPr>
            <w:color w:val="2A78D6"/>
            <w:sz w:val="17"/>
            <w:szCs w:val="17"/>
            <w:u w:val="single"/>
          </w:rPr>
          <w:t xml:space="preserve">https://arxiv.org/abs/2112.06343</w:t>
        </w:r>
      </w:hyperlink>
    </w:p>
    <w:p>
      <w:pPr>
        <w:keepNext/>
        <w:keepLines/>
        <w:tabs>
          <w:tab w:val="left" w:pos="620"/>
        </w:tabs>
        <w:spacing w:after="20"/>
        <w:ind w:left="620" w:hanging="620"/>
      </w:pPr>
      <w:bookmarkStart w:name="bm_ref_8" w:id="1"/>
      <w:r>
        <w:rPr>
          <w:b/>
          <w:bCs/>
          <w:color w:val="0B2545"/>
        </w:rPr>
        <w:t xml:space="preserve">[8]</w:t>
      </w:r>
      <w:bookmarkEnd w:id="1"/>
      <w:r>
        <w:t xml:space="preserve">	</w:t>
      </w:r>
      <w:r>
        <w:rPr>
          <w:sz w:val="19"/>
          <w:szCs w:val="19"/>
        </w:rPr>
        <w:t xml:space="preserve">CDVQA — Official Code &amp; Dataset Splits. Official GitHub repository.</w:t>
      </w:r>
    </w:p>
    <w:p>
      <w:pPr>
        <w:spacing w:after="130"/>
        <w:ind w:left="620"/>
      </w:pPr>
      <w:hyperlink w:history="1" r:id="rIdlz5bwjmr3kuiebbzrkrzk">
        <w:r>
          <w:rPr>
            <w:color w:val="2A78D6"/>
            <w:sz w:val="17"/>
            <w:szCs w:val="17"/>
            <w:u w:val="single"/>
          </w:rPr>
          <w:t xml:space="preserve">https://github.com/YZHJessica/CDVQA</w:t>
        </w:r>
      </w:hyperlink>
    </w:p>
    <w:p>
      <w:pPr>
        <w:pStyle w:val="Heading3"/>
      </w:pPr>
      <w:r>
        <w:t xml:space="preserve">Model baselines</w:t>
      </w:r>
    </w:p>
    <w:p>
      <w:pPr>
        <w:keepNext/>
        <w:keepLines/>
        <w:tabs>
          <w:tab w:val="left" w:pos="620"/>
        </w:tabs>
        <w:spacing w:after="20"/>
        <w:ind w:left="620" w:hanging="620"/>
      </w:pPr>
      <w:bookmarkStart w:name="bm_ref_9" w:id="1"/>
      <w:r>
        <w:rPr>
          <w:b/>
          <w:bCs/>
          <w:color w:val="0B2545"/>
        </w:rPr>
        <w:t xml:space="preserve">[9]</w:t>
      </w:r>
      <w:bookmarkEnd w:id="1"/>
      <w:r>
        <w:t xml:space="preserve">	</w:t>
      </w:r>
      <w:r>
        <w:rPr>
          <w:sz w:val="19"/>
          <w:szCs w:val="19"/>
        </w:rPr>
        <w:t xml:space="preserve">GeoChat — Grounded Large Vision-Language Model for Remote Sensing. CVPR 2024. First grounded remote-sensing vision-language model.</w:t>
      </w:r>
    </w:p>
    <w:p>
      <w:pPr>
        <w:keepNext/>
        <w:spacing w:after="20"/>
        <w:ind w:left="620"/>
      </w:pPr>
      <w:r>
        <w:rPr>
          <w:color w:val="1E7B34"/>
          <w:sz w:val="18"/>
          <w:szCs w:val="18"/>
        </w:rPr>
        <w:t xml:space="preserve">→ Our grounding baseline</w:t>
      </w:r>
    </w:p>
    <w:p>
      <w:pPr>
        <w:spacing w:after="130"/>
        <w:ind w:left="620"/>
      </w:pPr>
      <w:hyperlink w:history="1" r:id="rId9hj8hajlpflv_h_vyig49">
        <w:r>
          <w:rPr>
            <w:color w:val="2A78D6"/>
            <w:sz w:val="17"/>
            <w:szCs w:val="17"/>
            <w:u w:val="single"/>
          </w:rPr>
          <w:t xml:space="preserve">https://github.com/mbzuai-oryx/GeoChat</w:t>
        </w:r>
      </w:hyperlink>
    </w:p>
    <w:p>
      <w:pPr>
        <w:keepNext/>
        <w:keepLines/>
        <w:tabs>
          <w:tab w:val="left" w:pos="620"/>
        </w:tabs>
        <w:spacing w:after="20"/>
        <w:ind w:left="620" w:hanging="620"/>
      </w:pPr>
      <w:bookmarkStart w:name="bm_ref_10" w:id="1"/>
      <w:r>
        <w:rPr>
          <w:b/>
          <w:bCs/>
          <w:color w:val="0B2545"/>
        </w:rPr>
        <w:t xml:space="preserve">[10]</w:t>
      </w:r>
      <w:bookmarkEnd w:id="1"/>
      <w:r>
        <w:t xml:space="preserve">	</w:t>
      </w:r>
      <w:r>
        <w:rPr>
          <w:sz w:val="19"/>
          <w:szCs w:val="19"/>
        </w:rPr>
        <w:t xml:space="preserve">EarthGPT — Multi-Sensor MLLM (optical · SAR · infrared). IEEE TGRS 2024.</w:t>
      </w:r>
    </w:p>
    <w:p>
      <w:pPr>
        <w:keepNext/>
        <w:spacing w:after="20"/>
        <w:ind w:left="620"/>
      </w:pPr>
      <w:r>
        <w:rPr>
          <w:color w:val="1E7B34"/>
          <w:sz w:val="18"/>
          <w:szCs w:val="18"/>
        </w:rPr>
        <w:t xml:space="preserve">→ Demonstrates multi-sensor feasibility</w:t>
      </w:r>
    </w:p>
    <w:p>
      <w:pPr>
        <w:spacing w:after="130"/>
        <w:ind w:left="620"/>
      </w:pPr>
      <w:hyperlink w:history="1" r:id="rIdohjqtjns6tispumhe4mvn">
        <w:r>
          <w:rPr>
            <w:color w:val="2A78D6"/>
            <w:sz w:val="17"/>
            <w:szCs w:val="17"/>
            <w:u w:val="single"/>
          </w:rPr>
          <w:t xml:space="preserve">https://arxiv.org/abs/2401.16822</w:t>
        </w:r>
      </w:hyperlink>
    </w:p>
    <w:p>
      <w:pPr>
        <w:keepNext/>
        <w:keepLines/>
        <w:tabs>
          <w:tab w:val="left" w:pos="620"/>
        </w:tabs>
        <w:spacing w:after="20"/>
        <w:ind w:left="620" w:hanging="620"/>
      </w:pPr>
      <w:bookmarkStart w:name="bm_ref_11" w:id="1"/>
      <w:r>
        <w:rPr>
          <w:b/>
          <w:bCs/>
          <w:color w:val="0B2545"/>
        </w:rPr>
        <w:t xml:space="preserve">[11]</w:t>
      </w:r>
      <w:bookmarkEnd w:id="1"/>
      <w:r>
        <w:t xml:space="preserve">	</w:t>
      </w:r>
      <w:r>
        <w:rPr>
          <w:sz w:val="19"/>
          <w:szCs w:val="19"/>
        </w:rPr>
        <w:t xml:space="preserve">GeoGround — Unified LVLM for Remote-Sensing Visual Grounding, 2024.</w:t>
      </w:r>
    </w:p>
    <w:p>
      <w:pPr>
        <w:keepNext/>
        <w:spacing w:after="20"/>
        <w:ind w:left="620"/>
      </w:pPr>
      <w:r>
        <w:rPr>
          <w:color w:val="1E7B34"/>
          <w:sz w:val="18"/>
          <w:szCs w:val="18"/>
        </w:rPr>
        <w:t xml:space="preserve">→ Our box and mask output</w:t>
      </w:r>
    </w:p>
    <w:p>
      <w:pPr>
        <w:spacing w:after="130"/>
        <w:ind w:left="620"/>
      </w:pPr>
      <w:hyperlink w:history="1" r:id="rIdvu4vuvddl4izlxg8h1rvz">
        <w:r>
          <w:rPr>
            <w:color w:val="2A78D6"/>
            <w:sz w:val="17"/>
            <w:szCs w:val="17"/>
            <w:u w:val="single"/>
          </w:rPr>
          <w:t xml:space="preserve">https://arxiv.org/abs/2411.11904</w:t>
        </w:r>
      </w:hyperlink>
    </w:p>
    <w:p>
      <w:pPr>
        <w:keepNext/>
        <w:keepLines/>
        <w:tabs>
          <w:tab w:val="left" w:pos="620"/>
        </w:tabs>
        <w:spacing w:after="20"/>
        <w:ind w:left="620" w:hanging="620"/>
      </w:pPr>
      <w:bookmarkStart w:name="bm_ref_12" w:id="1"/>
      <w:r>
        <w:rPr>
          <w:b/>
          <w:bCs/>
          <w:color w:val="0B2545"/>
        </w:rPr>
        <w:t xml:space="preserve">[12]</w:t>
      </w:r>
      <w:bookmarkEnd w:id="1"/>
      <w:r>
        <w:t xml:space="preserve">	</w:t>
      </w:r>
      <w:r>
        <w:rPr>
          <w:sz w:val="19"/>
          <w:szCs w:val="19"/>
        </w:rPr>
        <w:t xml:space="preserve">E. Hu et al., LoRA — Low-Rank Adaptation of Large Language Models. ICLR 2022. Freeze backbone · train lightweight adapters.</w:t>
      </w:r>
    </w:p>
    <w:p>
      <w:pPr>
        <w:keepNext/>
        <w:spacing w:after="20"/>
        <w:ind w:left="620"/>
      </w:pPr>
      <w:r>
        <w:rPr>
          <w:color w:val="1E7B34"/>
          <w:sz w:val="18"/>
          <w:szCs w:val="18"/>
        </w:rPr>
        <w:t xml:space="preserve">→ Our adaptation method</w:t>
      </w:r>
    </w:p>
    <w:p>
      <w:pPr>
        <w:spacing w:after="130"/>
        <w:ind w:left="620"/>
      </w:pPr>
      <w:hyperlink w:history="1" r:id="rIdejeiz4edwmvfkfoscw2dy">
        <w:r>
          <w:rPr>
            <w:color w:val="2A78D6"/>
            <w:sz w:val="17"/>
            <w:szCs w:val="17"/>
            <w:u w:val="single"/>
          </w:rPr>
          <w:t xml:space="preserve">https://arxiv.org/abs/2106.09685</w:t>
        </w:r>
      </w:hyperlink>
    </w:p>
    <w:p>
      <w:pPr>
        <w:pStyle w:val="Heading3"/>
      </w:pPr>
      <w:r>
        <w:t xml:space="preserve">Agentic orchestration</w:t>
      </w:r>
    </w:p>
    <w:p>
      <w:pPr>
        <w:keepNext/>
        <w:keepLines/>
        <w:tabs>
          <w:tab w:val="left" w:pos="620"/>
        </w:tabs>
        <w:spacing w:after="20"/>
        <w:ind w:left="620" w:hanging="620"/>
      </w:pPr>
      <w:bookmarkStart w:name="bm_ref_13" w:id="1"/>
      <w:r>
        <w:rPr>
          <w:b/>
          <w:bCs/>
          <w:color w:val="0B2545"/>
        </w:rPr>
        <w:t xml:space="preserve">[13]</w:t>
      </w:r>
      <w:bookmarkEnd w:id="1"/>
      <w:r>
        <w:t xml:space="preserve">	</w:t>
      </w:r>
      <w:r>
        <w:rPr>
          <w:sz w:val="19"/>
          <w:szCs w:val="19"/>
        </w:rPr>
        <w:t xml:space="preserve">Change-Agent — Interactive Change Interpretation, 2024. LLM as the brain · vision model as the eyes.</w:t>
      </w:r>
    </w:p>
    <w:p>
      <w:pPr>
        <w:keepNext/>
        <w:spacing w:after="20"/>
        <w:ind w:left="620"/>
      </w:pPr>
      <w:r>
        <w:rPr>
          <w:color w:val="1E7B34"/>
          <w:sz w:val="18"/>
          <w:szCs w:val="18"/>
        </w:rPr>
        <w:t xml:space="preserve">→ Our router pattern</w:t>
      </w:r>
    </w:p>
    <w:p>
      <w:pPr>
        <w:spacing w:after="130"/>
        <w:ind w:left="620"/>
      </w:pPr>
      <w:hyperlink w:history="1" r:id="rIdzvvkhhdruq7gxs2j4chzv">
        <w:r>
          <w:rPr>
            <w:color w:val="2A78D6"/>
            <w:sz w:val="17"/>
            <w:szCs w:val="17"/>
            <w:u w:val="single"/>
          </w:rPr>
          <w:t xml:space="preserve">https://arxiv.org/abs/2403.19646</w:t>
        </w:r>
      </w:hyperlink>
    </w:p>
    <w:p>
      <w:pPr>
        <w:keepNext/>
        <w:keepLines/>
        <w:tabs>
          <w:tab w:val="left" w:pos="620"/>
        </w:tabs>
        <w:spacing w:after="20"/>
        <w:ind w:left="620" w:hanging="620"/>
      </w:pPr>
      <w:bookmarkStart w:name="bm_ref_14" w:id="1"/>
      <w:r>
        <w:rPr>
          <w:b/>
          <w:bCs/>
          <w:color w:val="0B2545"/>
        </w:rPr>
        <w:t xml:space="preserve">[14]</w:t>
      </w:r>
      <w:bookmarkEnd w:id="1"/>
      <w:r>
        <w:t xml:space="preserve">	</w:t>
      </w:r>
      <w:r>
        <w:rPr>
          <w:sz w:val="19"/>
          <w:szCs w:val="19"/>
        </w:rPr>
        <w:t xml:space="preserve">RS-Agent — Automating Remote-Sensing Tasks through an Intelligent Agent. Tool registry + structured task planning.</w:t>
      </w:r>
    </w:p>
    <w:p>
      <w:pPr>
        <w:keepNext/>
        <w:spacing w:after="20"/>
        <w:ind w:left="620"/>
      </w:pPr>
      <w:r>
        <w:rPr>
          <w:color w:val="1E7B34"/>
          <w:sz w:val="18"/>
          <w:szCs w:val="18"/>
        </w:rPr>
        <w:t xml:space="preserve">→ Our closed tool set</w:t>
      </w:r>
    </w:p>
    <w:p>
      <w:pPr>
        <w:spacing w:after="130"/>
        <w:ind w:left="620"/>
      </w:pPr>
      <w:hyperlink w:history="1" r:id="rIdwl1-jtukqn3bfcrdauvuz">
        <w:r>
          <w:rPr>
            <w:color w:val="2A78D6"/>
            <w:sz w:val="17"/>
            <w:szCs w:val="17"/>
            <w:u w:val="single"/>
          </w:rPr>
          <w:t xml:space="preserve">https://arxiv.org/abs/2406.07089</w:t>
        </w:r>
      </w:hyperlink>
    </w:p>
    <w:p>
      <w:pPr>
        <w:keepNext/>
        <w:keepLines/>
        <w:tabs>
          <w:tab w:val="left" w:pos="620"/>
        </w:tabs>
        <w:spacing w:after="20"/>
        <w:ind w:left="620" w:hanging="620"/>
      </w:pPr>
      <w:bookmarkStart w:name="bm_ref_15" w:id="1"/>
      <w:r>
        <w:rPr>
          <w:b/>
          <w:bCs/>
          <w:color w:val="0B2545"/>
        </w:rPr>
        <w:t xml:space="preserve">[15]</w:t>
      </w:r>
      <w:bookmarkEnd w:id="1"/>
      <w:r>
        <w:t xml:space="preserve">	</w:t>
      </w:r>
      <w:r>
        <w:rPr>
          <w:sz w:val="19"/>
          <w:szCs w:val="19"/>
        </w:rPr>
        <w:t xml:space="preserve">Multi-Agent Geospatial Copilots for Remote-Sensing Workflows.</w:t>
      </w:r>
    </w:p>
    <w:p>
      <w:pPr>
        <w:keepNext/>
        <w:spacing w:after="20"/>
        <w:ind w:left="620"/>
      </w:pPr>
      <w:r>
        <w:rPr>
          <w:color w:val="1E7B34"/>
          <w:sz w:val="18"/>
          <w:szCs w:val="18"/>
        </w:rPr>
        <w:t xml:space="preserve">→ Validates specialist dispatch</w:t>
      </w:r>
    </w:p>
    <w:p>
      <w:pPr>
        <w:spacing w:after="130"/>
        <w:ind w:left="620"/>
      </w:pPr>
      <w:hyperlink w:history="1" r:id="rId4_howovpih-ddqb2vxduu">
        <w:r>
          <w:rPr>
            <w:color w:val="2A78D6"/>
            <w:sz w:val="17"/>
            <w:szCs w:val="17"/>
            <w:u w:val="single"/>
          </w:rPr>
          <w:t xml:space="preserve">https://arxiv.org/abs/2501.16254</w:t>
        </w:r>
      </w:hyperlink>
    </w:p>
    <w:p>
      <w:pPr>
        <w:keepNext/>
        <w:keepLines/>
        <w:tabs>
          <w:tab w:val="left" w:pos="620"/>
        </w:tabs>
        <w:spacing w:after="20"/>
        <w:ind w:left="620" w:hanging="620"/>
      </w:pPr>
      <w:bookmarkStart w:name="bm_ref_16" w:id="1"/>
      <w:r>
        <w:rPr>
          <w:b/>
          <w:bCs/>
          <w:color w:val="0B2545"/>
        </w:rPr>
        <w:t xml:space="preserve">[16]</w:t>
      </w:r>
      <w:bookmarkEnd w:id="1"/>
      <w:r>
        <w:t xml:space="preserve">	</w:t>
      </w:r>
      <w:r>
        <w:rPr>
          <w:sz w:val="19"/>
          <w:szCs w:val="19"/>
        </w:rPr>
        <w:t xml:space="preserve">Agentic AI for Remote Sensing — Challenges and Directions. Survey of open problems.</w:t>
      </w:r>
    </w:p>
    <w:p>
      <w:pPr>
        <w:keepNext/>
        <w:spacing w:after="20"/>
        <w:ind w:left="620"/>
      </w:pPr>
      <w:r>
        <w:rPr>
          <w:color w:val="1E7B34"/>
          <w:sz w:val="18"/>
          <w:szCs w:val="18"/>
        </w:rPr>
        <w:t xml:space="preserve">→ Our failure-mode checklist</w:t>
      </w:r>
    </w:p>
    <w:p>
      <w:pPr>
        <w:spacing w:after="130"/>
        <w:ind w:left="620"/>
      </w:pPr>
      <w:hyperlink w:history="1" r:id="rIdgfjvu7kywo-ikzzgcn5ng">
        <w:r>
          <w:rPr>
            <w:color w:val="2A78D6"/>
            <w:sz w:val="17"/>
            <w:szCs w:val="17"/>
            <w:u w:val="single"/>
          </w:rPr>
          <w:t xml:space="preserve">https://arxiv.org/abs/2604.24919</w:t>
        </w:r>
      </w:hyperlink>
    </w:p>
    <w:p>
      <w:pPr>
        <w:pStyle w:val="Heading3"/>
      </w:pPr>
      <w:r>
        <w:t xml:space="preserve">Optical–SAR and ISRO data</w:t>
      </w:r>
    </w:p>
    <w:p>
      <w:pPr>
        <w:keepNext/>
        <w:keepLines/>
        <w:tabs>
          <w:tab w:val="left" w:pos="620"/>
        </w:tabs>
        <w:spacing w:after="20"/>
        <w:ind w:left="620" w:hanging="620"/>
      </w:pPr>
      <w:bookmarkStart w:name="bm_ref_17" w:id="1"/>
      <w:r>
        <w:rPr>
          <w:b/>
          <w:bCs/>
          <w:color w:val="0B2545"/>
        </w:rPr>
        <w:t xml:space="preserve">[17]</w:t>
      </w:r>
      <w:bookmarkEnd w:id="1"/>
      <w:r>
        <w:t xml:space="preserve">	</w:t>
      </w:r>
      <w:r>
        <w:rPr>
          <w:sz w:val="19"/>
          <w:szCs w:val="19"/>
        </w:rPr>
        <w:t xml:space="preserve">OGC GeoTIFF Standard — georeferencing tags (CRS and geotransform) for raster imagery.</w:t>
      </w:r>
    </w:p>
    <w:p>
      <w:pPr>
        <w:keepNext/>
        <w:spacing w:after="20"/>
        <w:ind w:left="620"/>
      </w:pPr>
      <w:r>
        <w:rPr>
          <w:color w:val="1E7B34"/>
          <w:sz w:val="18"/>
          <w:szCs w:val="18"/>
        </w:rPr>
        <w:t xml:space="preserve">→ Our coordinate-integrity contract</w:t>
      </w:r>
    </w:p>
    <w:p>
      <w:pPr>
        <w:spacing w:after="130"/>
        <w:ind w:left="620"/>
      </w:pPr>
      <w:hyperlink w:history="1" r:id="rIdn3owicfdvi_9vrz2tcz0c">
        <w:r>
          <w:rPr>
            <w:color w:val="2A78D6"/>
            <w:sz w:val="17"/>
            <w:szCs w:val="17"/>
            <w:u w:val="single"/>
          </w:rPr>
          <w:t xml:space="preserve">https://www.ogc.org/standard/geotiff/</w:t>
        </w:r>
      </w:hyperlink>
    </w:p>
    <w:p>
      <w:pPr>
        <w:keepNext/>
        <w:keepLines/>
        <w:tabs>
          <w:tab w:val="left" w:pos="620"/>
        </w:tabs>
        <w:spacing w:after="20"/>
        <w:ind w:left="620" w:hanging="620"/>
      </w:pPr>
      <w:bookmarkStart w:name="bm_ref_18" w:id="1"/>
      <w:r>
        <w:rPr>
          <w:b/>
          <w:bCs/>
          <w:color w:val="0B2545"/>
        </w:rPr>
        <w:t xml:space="preserve">[18]</w:t>
      </w:r>
      <w:bookmarkEnd w:id="1"/>
      <w:r>
        <w:t xml:space="preserve">	</w:t>
      </w:r>
      <w:r>
        <w:rPr>
          <w:sz w:val="19"/>
          <w:szCs w:val="19"/>
        </w:rPr>
        <w:t xml:space="preserve">SEN12MS — Georeferenced Sentinel-1/Sentinel-2 fusion corpus.</w:t>
      </w:r>
    </w:p>
    <w:p>
      <w:pPr>
        <w:keepNext/>
        <w:spacing w:after="20"/>
        <w:ind w:left="620"/>
      </w:pPr>
      <w:r>
        <w:rPr>
          <w:color w:val="1E7B34"/>
          <w:sz w:val="18"/>
          <w:szCs w:val="18"/>
        </w:rPr>
        <w:t xml:space="preserve">→ Our cross-modal design</w:t>
      </w:r>
    </w:p>
    <w:p>
      <w:pPr>
        <w:spacing w:after="130"/>
        <w:ind w:left="620"/>
      </w:pPr>
      <w:hyperlink w:history="1" r:id="rIdyk9whtpnlrjlugxsyi2nu">
        <w:r>
          <w:rPr>
            <w:color w:val="2A78D6"/>
            <w:sz w:val="17"/>
            <w:szCs w:val="17"/>
            <w:u w:val="single"/>
          </w:rPr>
          <w:t xml:space="preserve">https://arxiv.org/abs/1906.07789</w:t>
        </w:r>
      </w:hyperlink>
    </w:p>
    <w:p>
      <w:pPr>
        <w:keepNext/>
        <w:keepLines/>
        <w:tabs>
          <w:tab w:val="left" w:pos="620"/>
        </w:tabs>
        <w:spacing w:after="20"/>
        <w:ind w:left="620" w:hanging="620"/>
      </w:pPr>
      <w:bookmarkStart w:name="bm_ref_19" w:id="1"/>
      <w:r>
        <w:rPr>
          <w:b/>
          <w:bCs/>
          <w:color w:val="0B2545"/>
        </w:rPr>
        <w:t xml:space="preserve">[19]</w:t>
      </w:r>
      <w:bookmarkEnd w:id="1"/>
      <w:r>
        <w:t xml:space="preserve">	</w:t>
      </w:r>
      <w:r>
        <w:rPr>
          <w:sz w:val="19"/>
          <w:szCs w:val="19"/>
        </w:rPr>
        <w:t xml:space="preserve">Chen &amp; Bruzzone, Self-Supervised SAR-Optical Data Fusion. Co-registration and joint feature learning.</w:t>
      </w:r>
    </w:p>
    <w:p>
      <w:pPr>
        <w:keepNext/>
        <w:spacing w:after="20"/>
        <w:ind w:left="620"/>
      </w:pPr>
      <w:r>
        <w:rPr>
          <w:color w:val="1E7B34"/>
          <w:sz w:val="18"/>
          <w:szCs w:val="18"/>
        </w:rPr>
        <w:t xml:space="preserve">→ Our alignment check</w:t>
      </w:r>
    </w:p>
    <w:p>
      <w:pPr>
        <w:spacing w:after="130"/>
        <w:ind w:left="620"/>
      </w:pPr>
      <w:hyperlink w:history="1" r:id="rIdotxpxsiddnvujr1h2rtig">
        <w:r>
          <w:rPr>
            <w:color w:val="2A78D6"/>
            <w:sz w:val="17"/>
            <w:szCs w:val="17"/>
            <w:u w:val="single"/>
          </w:rPr>
          <w:t xml:space="preserve">https://arxiv.org/abs/2103.05543</w:t>
        </w:r>
      </w:hyperlink>
    </w:p>
    <w:p>
      <w:pPr>
        <w:keepNext/>
        <w:keepLines/>
        <w:tabs>
          <w:tab w:val="left" w:pos="620"/>
        </w:tabs>
        <w:spacing w:after="20"/>
        <w:ind w:left="620" w:hanging="620"/>
      </w:pPr>
      <w:bookmarkStart w:name="bm_ref_20" w:id="1"/>
      <w:r>
        <w:rPr>
          <w:b/>
          <w:bCs/>
          <w:color w:val="0B2545"/>
        </w:rPr>
        <w:t xml:space="preserve">[20]</w:t>
      </w:r>
      <w:bookmarkEnd w:id="1"/>
      <w:r>
        <w:t xml:space="preserve">	</w:t>
      </w:r>
      <w:r>
        <w:rPr>
          <w:sz w:val="19"/>
          <w:szCs w:val="19"/>
        </w:rPr>
        <w:t xml:space="preserve">EOS-04 (RISAT-1A) Handbook — NRSC / ISRO. SAR product specifications.</w:t>
      </w:r>
    </w:p>
    <w:p>
      <w:pPr>
        <w:keepNext/>
        <w:spacing w:after="20"/>
        <w:ind w:left="620"/>
      </w:pPr>
      <w:r>
        <w:rPr>
          <w:color w:val="1E7B34"/>
          <w:sz w:val="18"/>
          <w:szCs w:val="18"/>
        </w:rPr>
        <w:t xml:space="preserve">→ Sensor in the evaluation set</w:t>
      </w:r>
    </w:p>
    <w:p>
      <w:pPr>
        <w:spacing w:after="130"/>
        <w:ind w:left="620"/>
      </w:pPr>
      <w:hyperlink w:history="1" r:id="rIdoccgalodltwyujo8g9ctz">
        <w:r>
          <w:rPr>
            <w:color w:val="2A78D6"/>
            <w:sz w:val="17"/>
            <w:szCs w:val="17"/>
            <w:u w:val="single"/>
          </w:rPr>
          <w:t xml:space="preserve">https://bhoonidhi.nrsc.gov.in/</w:t>
        </w:r>
      </w:hyperlink>
    </w:p>
    <w:p>
      <w:pPr>
        <w:keepNext/>
        <w:keepLines/>
        <w:tabs>
          <w:tab w:val="left" w:pos="620"/>
        </w:tabs>
        <w:spacing w:after="20"/>
        <w:ind w:left="620" w:hanging="620"/>
      </w:pPr>
      <w:bookmarkStart w:name="bm_ref_21" w:id="1"/>
      <w:r>
        <w:rPr>
          <w:b/>
          <w:bCs/>
          <w:color w:val="0B2545"/>
        </w:rPr>
        <w:t xml:space="preserve">[21]</w:t>
      </w:r>
      <w:bookmarkEnd w:id="1"/>
      <w:r>
        <w:t xml:space="preserve">	</w:t>
      </w:r>
      <w:r>
        <w:rPr>
          <w:sz w:val="19"/>
          <w:szCs w:val="19"/>
        </w:rPr>
        <w:t xml:space="preserve">ISRO Bhoonidhi EO Data Hub — Cartosat-2S and RISAT data access.</w:t>
      </w:r>
    </w:p>
    <w:p>
      <w:pPr>
        <w:keepNext/>
        <w:spacing w:after="20"/>
        <w:ind w:left="620"/>
      </w:pPr>
      <w:r>
        <w:rPr>
          <w:color w:val="1E7B34"/>
          <w:sz w:val="18"/>
          <w:szCs w:val="18"/>
        </w:rPr>
        <w:t xml:space="preserve">→ Our test-imagery source</w:t>
      </w:r>
    </w:p>
    <w:p>
      <w:pPr>
        <w:spacing w:after="130"/>
        <w:ind w:left="620"/>
      </w:pPr>
      <w:hyperlink w:history="1" r:id="rIdouvgterdqmsaa2270fvsy">
        <w:r>
          <w:rPr>
            <w:color w:val="2A78D6"/>
            <w:sz w:val="17"/>
            <w:szCs w:val="17"/>
            <w:u w:val="single"/>
          </w:rPr>
          <w:t xml:space="preserve">https://bhoonidhi.nrsc.gov.in/</w:t>
        </w:r>
      </w:hyperlink>
    </w:p>
    <w:p>
      <w:pPr>
        <w:pStyle w:val="Heading3"/>
      </w:pPr>
      <w:r>
        <w:t xml:space="preserve">Legal and policy basis</w:t>
      </w:r>
    </w:p>
    <w:p>
      <w:pPr>
        <w:keepNext/>
        <w:keepLines/>
        <w:tabs>
          <w:tab w:val="left" w:pos="620"/>
        </w:tabs>
        <w:spacing w:after="20"/>
        <w:ind w:left="620" w:hanging="620"/>
      </w:pPr>
      <w:bookmarkStart w:name="bm_ref_22" w:id="1"/>
      <w:r>
        <w:rPr>
          <w:b/>
          <w:bCs/>
          <w:color w:val="0B2545"/>
        </w:rPr>
        <w:t xml:space="preserve">[22]</w:t>
      </w:r>
      <w:bookmarkEnd w:id="1"/>
      <w:r>
        <w:t xml:space="preserve">	</w:t>
      </w:r>
      <w:r>
        <w:rPr>
          <w:sz w:val="19"/>
          <w:szCs w:val="19"/>
        </w:rPr>
        <w:t xml:space="preserve">Forest Rights Act, 2006 — pre-13 December 2005 occupation and SDLC/DLC appeal mechanism.</w:t>
      </w:r>
    </w:p>
    <w:p>
      <w:pPr>
        <w:spacing w:after="130"/>
        <w:ind w:left="620"/>
      </w:pPr>
      <w:hyperlink w:history="1" r:id="rIdkw_n0vyvgoftfqxv0l_kd">
        <w:r>
          <w:rPr>
            <w:color w:val="2A78D6"/>
            <w:sz w:val="17"/>
            <w:szCs w:val="17"/>
            <w:u w:val="single"/>
          </w:rPr>
          <w:t xml:space="preserve">https://tribal.nic.in/fra.aspx</w:t>
        </w:r>
      </w:hyperlink>
    </w:p>
    <w:p>
      <w:pPr>
        <w:keepNext/>
        <w:keepLines/>
        <w:tabs>
          <w:tab w:val="left" w:pos="620"/>
        </w:tabs>
        <w:spacing w:after="20"/>
        <w:ind w:left="620" w:hanging="620"/>
      </w:pPr>
      <w:bookmarkStart w:name="bm_ref_23" w:id="1"/>
      <w:r>
        <w:rPr>
          <w:b/>
          <w:bCs/>
          <w:color w:val="0B2545"/>
        </w:rPr>
        <w:t xml:space="preserve">[23]</w:t>
      </w:r>
      <w:bookmarkEnd w:id="1"/>
      <w:r>
        <w:t xml:space="preserve">	</w:t>
      </w:r>
      <w:r>
        <w:rPr>
          <w:sz w:val="19"/>
          <w:szCs w:val="19"/>
        </w:rPr>
        <w:t xml:space="preserve">FRA Amendment Rules, 2012 — satellite imagery can supplement, not replace, other evidence; final decision remains with the human authority.</w:t>
      </w:r>
    </w:p>
    <w:p>
      <w:pPr>
        <w:spacing w:after="130"/>
        <w:ind w:left="620"/>
      </w:pPr>
      <w:hyperlink w:history="1" r:id="rIdfj066t-kixxkihizvff68">
        <w:r>
          <w:rPr>
            <w:color w:val="2A78D6"/>
            <w:sz w:val="17"/>
            <w:szCs w:val="17"/>
            <w:u w:val="single"/>
          </w:rPr>
          <w:t xml:space="preserve">https://www.tribal.mp.gov.in/CMS/Uploaded%20Document/RTI/Rules%20%26%20Regulation/Forest%20Rights%20Amendment%20Rules%202012.pdf</w:t>
        </w:r>
      </w:hyperlink>
    </w:p>
    <w:p>
      <w:pPr>
        <w:keepNext/>
        <w:keepLines/>
        <w:tabs>
          <w:tab w:val="left" w:pos="620"/>
        </w:tabs>
        <w:spacing w:after="20"/>
        <w:ind w:left="620" w:hanging="620"/>
      </w:pPr>
      <w:bookmarkStart w:name="bm_ref_24" w:id="1"/>
      <w:r>
        <w:rPr>
          <w:b/>
          <w:bCs/>
          <w:color w:val="0B2545"/>
        </w:rPr>
        <w:t xml:space="preserve">[24]</w:t>
      </w:r>
      <w:bookmarkEnd w:id="1"/>
      <w:r>
        <w:t xml:space="preserve">	</w:t>
      </w:r>
      <w:r>
        <w:rPr>
          <w:sz w:val="19"/>
          <w:szCs w:val="19"/>
        </w:rPr>
        <w:t xml:space="preserve">Ministry of Tribal Affairs — Monthly Progress Report, March 2026. 47,901 community forest-rights claims rejected nationally.</w:t>
      </w:r>
    </w:p>
    <w:p>
      <w:pPr>
        <w:spacing w:after="130"/>
        <w:ind w:left="620"/>
      </w:pPr>
      <w:hyperlink w:history="1" r:id="rIdgkqcps9gd6fdb_b6xxm4d">
        <w:r>
          <w:rPr>
            <w:color w:val="2A78D6"/>
            <w:sz w:val="17"/>
            <w:szCs w:val="17"/>
            <w:u w:val="single"/>
          </w:rPr>
          <w:t xml:space="preserve">https://tribal.nic.in/downloads/FRA/MPR/2026/%28B%29%20MPR%20Mar%202026.pdf</w:t>
        </w:r>
      </w:hyperlink>
    </w:p>
    <w:p>
      <w:pPr>
        <w:keepNext/>
        <w:keepLines/>
        <w:tabs>
          <w:tab w:val="left" w:pos="620"/>
        </w:tabs>
        <w:spacing w:after="20"/>
        <w:ind w:left="620" w:hanging="620"/>
      </w:pPr>
      <w:bookmarkStart w:name="bm_ref_25" w:id="1"/>
      <w:r>
        <w:rPr>
          <w:b/>
          <w:bCs/>
          <w:color w:val="0B2545"/>
        </w:rPr>
        <w:t xml:space="preserve">[25]</w:t>
      </w:r>
      <w:bookmarkEnd w:id="1"/>
      <w:r>
        <w:t xml:space="preserve">	</w:t>
      </w:r>
      <w:r>
        <w:rPr>
          <w:sz w:val="19"/>
          <w:szCs w:val="19"/>
        </w:rPr>
        <w:t xml:space="preserve">DAJGUA — ₹79,156 crore · 17 ministries · focus on 22 lakh FRA patta holders (PIB).</w:t>
      </w:r>
    </w:p>
    <w:p>
      <w:pPr>
        <w:spacing w:after="130"/>
        <w:ind w:left="620"/>
      </w:pPr>
      <w:hyperlink w:history="1" r:id="rId0hoorhgntdzadvb4vj2lc">
        <w:r>
          <w:rPr>
            <w:color w:val="2A78D6"/>
            <w:sz w:val="17"/>
            <w:szCs w:val="17"/>
            <w:u w:val="single"/>
          </w:rPr>
          <w:t xml:space="preserve">https://archive.pib.gov.in/newsite/PrintRelease.aspx?relid=259904</w:t>
        </w:r>
      </w:hyperlink>
    </w:p>
    <w:p>
      <w:pPr>
        <w:pStyle w:val="Heading3"/>
      </w:pPr>
      <w:r>
        <w:t xml:space="preserve">Satellite data and time-series research</w:t>
      </w:r>
    </w:p>
    <w:p>
      <w:pPr>
        <w:keepNext/>
        <w:keepLines/>
        <w:tabs>
          <w:tab w:val="left" w:pos="620"/>
        </w:tabs>
        <w:spacing w:after="20"/>
        <w:ind w:left="620" w:hanging="620"/>
      </w:pPr>
      <w:bookmarkStart w:name="bm_ref_26" w:id="1"/>
      <w:r>
        <w:rPr>
          <w:b/>
          <w:bCs/>
          <w:color w:val="0B2545"/>
        </w:rPr>
        <w:t xml:space="preserve">[26]</w:t>
      </w:r>
      <w:bookmarkEnd w:id="1"/>
      <w:r>
        <w:t xml:space="preserve">	</w:t>
      </w:r>
      <w:r>
        <w:rPr>
          <w:sz w:val="19"/>
          <w:szCs w:val="19"/>
        </w:rPr>
        <w:t xml:space="preserve">Landsat — USGS. Historical satellite imagery available from 1972.</w:t>
      </w:r>
    </w:p>
    <w:p>
      <w:pPr>
        <w:spacing w:after="130"/>
        <w:ind w:left="620"/>
      </w:pPr>
      <w:hyperlink w:history="1" r:id="rIdtzl854buy_pgxa5bwkg3x">
        <w:r>
          <w:rPr>
            <w:color w:val="2A78D6"/>
            <w:sz w:val="17"/>
            <w:szCs w:val="17"/>
            <w:u w:val="single"/>
          </w:rPr>
          <w:t xml:space="preserve">https://www.usgs.gov/landsat-missions/landsat-1</w:t>
        </w:r>
      </w:hyperlink>
    </w:p>
    <w:p>
      <w:pPr>
        <w:keepNext/>
        <w:keepLines/>
        <w:tabs>
          <w:tab w:val="left" w:pos="620"/>
        </w:tabs>
        <w:spacing w:after="20"/>
        <w:ind w:left="620" w:hanging="620"/>
      </w:pPr>
      <w:bookmarkStart w:name="bm_ref_27" w:id="1"/>
      <w:r>
        <w:rPr>
          <w:b/>
          <w:bCs/>
          <w:color w:val="0B2545"/>
        </w:rPr>
        <w:t xml:space="preserve">[27]</w:t>
      </w:r>
      <w:bookmarkEnd w:id="1"/>
      <w:r>
        <w:t xml:space="preserve">	</w:t>
      </w:r>
      <w:r>
        <w:rPr>
          <w:sz w:val="19"/>
          <w:szCs w:val="19"/>
        </w:rPr>
        <w:t xml:space="preserve">CORONA — USGS EROS Archive. Declassified historical satellite imagery, 1967–1972.</w:t>
      </w:r>
    </w:p>
    <w:p>
      <w:pPr>
        <w:spacing w:after="130"/>
        <w:ind w:left="620"/>
      </w:pPr>
      <w:hyperlink w:history="1" r:id="rIdtq_z5qbjyilxhby1hddbd">
        <w:r>
          <w:rPr>
            <w:color w:val="2A78D6"/>
            <w:sz w:val="17"/>
            <w:szCs w:val="17"/>
            <w:u w:val="single"/>
          </w:rPr>
          <w:t xml:space="preserve">https://www.usgs.gov/centers/eros/science/usgs-eros-archive-declassified-data-declassified-satellite-imagery-1</w:t>
        </w:r>
      </w:hyperlink>
    </w:p>
    <w:p>
      <w:pPr>
        <w:keepNext/>
        <w:keepLines/>
        <w:tabs>
          <w:tab w:val="left" w:pos="620"/>
        </w:tabs>
        <w:spacing w:after="20"/>
        <w:ind w:left="620" w:hanging="620"/>
      </w:pPr>
      <w:bookmarkStart w:name="bm_ref_28" w:id="1"/>
      <w:r>
        <w:rPr>
          <w:b/>
          <w:bCs/>
          <w:color w:val="0B2545"/>
        </w:rPr>
        <w:t xml:space="preserve">[28]</w:t>
      </w:r>
      <w:bookmarkEnd w:id="1"/>
      <w:r>
        <w:t xml:space="preserve">	</w:t>
      </w:r>
      <w:r>
        <w:rPr>
          <w:sz w:val="19"/>
          <w:szCs w:val="19"/>
        </w:rPr>
        <w:t xml:space="preserve">Sentinel-2 — Copernicus Data Space. 10 m imagery for present-day asset mapping.</w:t>
      </w:r>
    </w:p>
    <w:p>
      <w:pPr>
        <w:spacing w:after="130"/>
        <w:ind w:left="620"/>
      </w:pPr>
      <w:hyperlink w:history="1" r:id="rIdxzm4vckpoqz5zxjoa_kro">
        <w:r>
          <w:rPr>
            <w:color w:val="2A78D6"/>
            <w:sz w:val="17"/>
            <w:szCs w:val="17"/>
            <w:u w:val="single"/>
          </w:rPr>
          <w:t xml:space="preserve">https://dataspace.copernicus.eu/data-collections/copernicus-sentinel-missions/sentinel-2</w:t>
        </w:r>
      </w:hyperlink>
    </w:p>
    <w:p>
      <w:pPr>
        <w:keepNext/>
        <w:keepLines/>
        <w:tabs>
          <w:tab w:val="left" w:pos="620"/>
        </w:tabs>
        <w:spacing w:after="20"/>
        <w:ind w:left="620" w:hanging="620"/>
      </w:pPr>
      <w:bookmarkStart w:name="bm_ref_29" w:id="1"/>
      <w:r>
        <w:rPr>
          <w:b/>
          <w:bCs/>
          <w:color w:val="0B2545"/>
        </w:rPr>
        <w:t xml:space="preserve">[29]</w:t>
      </w:r>
      <w:bookmarkEnd w:id="1"/>
      <w:r>
        <w:t xml:space="preserve">	</w:t>
      </w:r>
      <w:r>
        <w:rPr>
          <w:sz w:val="19"/>
          <w:szCs w:val="19"/>
        </w:rPr>
        <w:t xml:space="preserve">ISRO Bhuvan — Indian geospatial and LULC layers for present-day mapping.</w:t>
      </w:r>
    </w:p>
    <w:p>
      <w:pPr>
        <w:spacing w:after="130"/>
        <w:ind w:left="620"/>
      </w:pPr>
      <w:hyperlink w:history="1" r:id="rIdea7zdctgv2sag-tjcn6rf">
        <w:r>
          <w:rPr>
            <w:color w:val="2A78D6"/>
            <w:sz w:val="17"/>
            <w:szCs w:val="17"/>
            <w:u w:val="single"/>
          </w:rPr>
          <w:t xml:space="preserve">https://bhuvan.nrsc.gov.in/</w:t>
        </w:r>
      </w:hyperlink>
    </w:p>
    <w:p>
      <w:pPr>
        <w:keepNext/>
        <w:keepLines/>
        <w:tabs>
          <w:tab w:val="left" w:pos="620"/>
        </w:tabs>
        <w:spacing w:after="20"/>
        <w:ind w:left="620" w:hanging="620"/>
      </w:pPr>
      <w:bookmarkStart w:name="bm_ref_30" w:id="1"/>
      <w:r>
        <w:rPr>
          <w:b/>
          <w:bCs/>
          <w:color w:val="0B2545"/>
        </w:rPr>
        <w:t xml:space="preserve">[30]</w:t>
      </w:r>
      <w:bookmarkEnd w:id="1"/>
      <w:r>
        <w:t xml:space="preserve">	</w:t>
      </w:r>
      <w:r>
        <w:rPr>
          <w:sz w:val="19"/>
          <w:szCs w:val="19"/>
        </w:rPr>
        <w:t xml:space="preserve">Kennedy et al., LandTrendr, 2018 — detects the year of land-cover change from Landsat time-series.</w:t>
      </w:r>
    </w:p>
    <w:p>
      <w:pPr>
        <w:spacing w:after="130"/>
        <w:ind w:left="620"/>
      </w:pPr>
      <w:hyperlink w:history="1" r:id="rId4lwmb51xymzanzlpkyxzr">
        <w:r>
          <w:rPr>
            <w:color w:val="2A78D6"/>
            <w:sz w:val="17"/>
            <w:szCs w:val="17"/>
            <w:u w:val="single"/>
          </w:rPr>
          <w:t xml:space="preserve">https://doi.org/10.3390/rs10050691</w:t>
        </w:r>
      </w:hyperlink>
    </w:p>
    <w:p>
      <w:pPr>
        <w:keepNext/>
        <w:keepLines/>
        <w:tabs>
          <w:tab w:val="left" w:pos="620"/>
        </w:tabs>
        <w:spacing w:after="20"/>
        <w:ind w:left="620" w:hanging="620"/>
      </w:pPr>
      <w:bookmarkStart w:name="bm_ref_31" w:id="1"/>
      <w:r>
        <w:rPr>
          <w:b/>
          <w:bCs/>
          <w:color w:val="0B2545"/>
        </w:rPr>
        <w:t xml:space="preserve">[31]</w:t>
      </w:r>
      <w:bookmarkEnd w:id="1"/>
      <w:r>
        <w:t xml:space="preserve">	</w:t>
      </w:r>
      <w:r>
        <w:rPr>
          <w:sz w:val="19"/>
          <w:szCs w:val="19"/>
        </w:rPr>
        <w:t xml:space="preserve">Zhu &amp; Woodcock, CCDC, 2014 — continuous land-cover change detection using Landsat observations.</w:t>
      </w:r>
    </w:p>
    <w:p>
      <w:pPr>
        <w:spacing w:after="130"/>
        <w:ind w:left="620"/>
      </w:pPr>
      <w:hyperlink w:history="1" r:id="rIdeylh_veuwcs3wgcp1hnpk">
        <w:r>
          <w:rPr>
            <w:color w:val="2A78D6"/>
            <w:sz w:val="17"/>
            <w:szCs w:val="17"/>
            <w:u w:val="single"/>
          </w:rPr>
          <w:t xml:space="preserve">https://doi.org/10.1016/j.rse.2014.01.011</w:t>
        </w:r>
      </w:hyperlink>
    </w:p>
    <w:p>
      <w:pPr>
        <w:pStyle w:val="Heading3"/>
      </w:pPr>
      <w:r>
        <w:t xml:space="preserve">Additional references used in this report</w:t>
      </w:r>
    </w:p>
    <w:p>
      <w:pPr>
        <w:keepNext/>
        <w:keepLines/>
        <w:tabs>
          <w:tab w:val="left" w:pos="620"/>
        </w:tabs>
        <w:spacing w:after="20"/>
        <w:ind w:left="620" w:hanging="620"/>
      </w:pPr>
      <w:bookmarkStart w:name="bm_ref_32" w:id="1"/>
      <w:r>
        <w:rPr>
          <w:b/>
          <w:bCs/>
          <w:color w:val="0B2545"/>
        </w:rPr>
        <w:t xml:space="preserve">[32]</w:t>
      </w:r>
      <w:bookmarkEnd w:id="1"/>
      <w:r>
        <w:t xml:space="preserve">	</w:t>
      </w:r>
      <w:r>
        <w:rPr>
          <w:sz w:val="19"/>
          <w:szCs w:val="19"/>
        </w:rPr>
        <w:t xml:space="preserve">Qwen Team, Qwen2-VL: Enhancing Vision-Language Model's Perception of the World at Any Resolution, 2024.</w:t>
      </w:r>
    </w:p>
    <w:p>
      <w:pPr>
        <w:keepNext/>
        <w:spacing w:after="20"/>
        <w:ind w:left="620"/>
      </w:pPr>
      <w:r>
        <w:rPr>
          <w:color w:val="1E7B34"/>
          <w:sz w:val="18"/>
          <w:szCs w:val="18"/>
        </w:rPr>
        <w:t xml:space="preserve">→ Our base model (M0)</w:t>
      </w:r>
    </w:p>
    <w:p>
      <w:pPr>
        <w:spacing w:after="130"/>
        <w:ind w:left="620"/>
      </w:pPr>
      <w:hyperlink w:history="1" r:id="rIdqiwg6wiclb84nv-m-mtwz">
        <w:r>
          <w:rPr>
            <w:color w:val="2A78D6"/>
            <w:sz w:val="17"/>
            <w:szCs w:val="17"/>
            <w:u w:val="single"/>
          </w:rPr>
          <w:t xml:space="preserve">https://arxiv.org/abs/2409.12191</w:t>
        </w:r>
      </w:hyperlink>
    </w:p>
    <w:p>
      <w:pPr>
        <w:keepNext/>
        <w:keepLines/>
        <w:tabs>
          <w:tab w:val="left" w:pos="620"/>
        </w:tabs>
        <w:spacing w:after="20"/>
        <w:ind w:left="620" w:hanging="620"/>
      </w:pPr>
      <w:bookmarkStart w:name="bm_ref_33" w:id="1"/>
      <w:r>
        <w:rPr>
          <w:b/>
          <w:bCs/>
          <w:color w:val="0B2545"/>
        </w:rPr>
        <w:t xml:space="preserve">[33]</w:t>
      </w:r>
      <w:bookmarkEnd w:id="1"/>
      <w:r>
        <w:t xml:space="preserve">	</w:t>
      </w:r>
      <w:r>
        <w:rPr>
          <w:sz w:val="19"/>
          <w:szCs w:val="19"/>
        </w:rPr>
        <w:t xml:space="preserve">T. Dettmers et al., QLoRA: Efficient Finetuning of Quantized LLMs, NeurIPS 2023.</w:t>
      </w:r>
    </w:p>
    <w:p>
      <w:pPr>
        <w:keepNext/>
        <w:spacing w:after="20"/>
        <w:ind w:left="620"/>
      </w:pPr>
      <w:r>
        <w:rPr>
          <w:color w:val="1E7B34"/>
          <w:sz w:val="18"/>
          <w:szCs w:val="18"/>
        </w:rPr>
        <w:t xml:space="preserve">→ 4-bit training on a free GPU</w:t>
      </w:r>
    </w:p>
    <w:p>
      <w:pPr>
        <w:spacing w:after="130"/>
        <w:ind w:left="620"/>
      </w:pPr>
      <w:hyperlink w:history="1" r:id="rIdt68cvup1mqy_s1adxokkl">
        <w:r>
          <w:rPr>
            <w:color w:val="2A78D6"/>
            <w:sz w:val="17"/>
            <w:szCs w:val="17"/>
            <w:u w:val="single"/>
          </w:rPr>
          <w:t xml:space="preserve">https://arxiv.org/abs/2305.14314</w:t>
        </w:r>
      </w:hyperlink>
    </w:p>
    <w:p>
      <w:pPr>
        <w:keepNext/>
        <w:keepLines/>
        <w:tabs>
          <w:tab w:val="left" w:pos="620"/>
        </w:tabs>
        <w:spacing w:after="20"/>
        <w:ind w:left="620" w:hanging="620"/>
      </w:pPr>
      <w:bookmarkStart w:name="bm_ref_34" w:id="1"/>
      <w:r>
        <w:rPr>
          <w:b/>
          <w:bCs/>
          <w:color w:val="0B2545"/>
        </w:rPr>
        <w:t xml:space="preserve">[34]</w:t>
      </w:r>
      <w:bookmarkEnd w:id="1"/>
      <w:r>
        <w:t xml:space="preserve">	</w:t>
      </w:r>
      <w:r>
        <w:rPr>
          <w:sz w:val="19"/>
          <w:szCs w:val="19"/>
        </w:rPr>
        <w:t xml:space="preserve">J.-S. Lee, Digital Image Enhancement and Noise Filtering by Use of Local Statistics, IEEE TPAMI, 1980.</w:t>
      </w:r>
    </w:p>
    <w:p>
      <w:pPr>
        <w:keepNext/>
        <w:spacing w:after="20"/>
        <w:ind w:left="620"/>
      </w:pPr>
      <w:r>
        <w:rPr>
          <w:color w:val="1E7B34"/>
          <w:sz w:val="18"/>
          <w:szCs w:val="18"/>
        </w:rPr>
        <w:t xml:space="preserve">→ SAR speckle filter</w:t>
      </w:r>
    </w:p>
    <w:p>
      <w:pPr>
        <w:spacing w:after="130"/>
        <w:ind w:left="620"/>
      </w:pPr>
      <w:hyperlink w:history="1" r:id="rIduqkuwdwgawgb4sm3amlqv">
        <w:r>
          <w:rPr>
            <w:color w:val="2A78D6"/>
            <w:sz w:val="17"/>
            <w:szCs w:val="17"/>
            <w:u w:val="single"/>
          </w:rPr>
          <w:t xml:space="preserve">https://doi.org/10.1109/TPAMI.1980.4766994</w:t>
        </w:r>
      </w:hyperlink>
    </w:p>
    <w:p>
      <w:pPr>
        <w:keepNext/>
        <w:keepLines/>
        <w:tabs>
          <w:tab w:val="left" w:pos="620"/>
        </w:tabs>
        <w:spacing w:after="20"/>
        <w:ind w:left="620" w:hanging="620"/>
      </w:pPr>
      <w:bookmarkStart w:name="bm_ref_35" w:id="1"/>
      <w:r>
        <w:rPr>
          <w:b/>
          <w:bCs/>
          <w:color w:val="0B2545"/>
        </w:rPr>
        <w:t xml:space="preserve">[35]</w:t>
      </w:r>
      <w:bookmarkEnd w:id="1"/>
      <w:r>
        <w:t xml:space="preserve">	</w:t>
      </w:r>
      <w:r>
        <w:rPr>
          <w:sz w:val="19"/>
          <w:szCs w:val="19"/>
        </w:rPr>
        <w:t xml:space="preserve">N. Otsu, A Threshold Selection Method from Gray-Level Histograms, IEEE Trans. SMC, 1979.</w:t>
      </w:r>
    </w:p>
    <w:p>
      <w:pPr>
        <w:keepNext/>
        <w:spacing w:after="20"/>
        <w:ind w:left="620"/>
      </w:pPr>
      <w:r>
        <w:rPr>
          <w:color w:val="1E7B34"/>
          <w:sz w:val="18"/>
          <w:szCs w:val="18"/>
        </w:rPr>
        <w:t xml:space="preserve">→ Segmentation thresholds</w:t>
      </w:r>
    </w:p>
    <w:p>
      <w:pPr>
        <w:spacing w:after="130"/>
        <w:ind w:left="620"/>
      </w:pPr>
      <w:hyperlink w:history="1" r:id="rIdkhgvcnhbsdclc1b1nd0le">
        <w:r>
          <w:rPr>
            <w:color w:val="2A78D6"/>
            <w:sz w:val="17"/>
            <w:szCs w:val="17"/>
            <w:u w:val="single"/>
          </w:rPr>
          <w:t xml:space="preserve">https://doi.org/10.1109/TSMC.1979.4310076</w:t>
        </w:r>
      </w:hyperlink>
    </w:p>
    <w:p>
      <w:pPr>
        <w:keepNext/>
        <w:keepLines/>
        <w:tabs>
          <w:tab w:val="left" w:pos="620"/>
        </w:tabs>
        <w:spacing w:after="20"/>
        <w:ind w:left="620" w:hanging="620"/>
      </w:pPr>
      <w:bookmarkStart w:name="bm_ref_36" w:id="1"/>
      <w:r>
        <w:rPr>
          <w:b/>
          <w:bCs/>
          <w:color w:val="0B2545"/>
        </w:rPr>
        <w:t xml:space="preserve">[36]</w:t>
      </w:r>
      <w:bookmarkEnd w:id="1"/>
      <w:r>
        <w:t xml:space="preserve">	</w:t>
      </w:r>
      <w:r>
        <w:rPr>
          <w:sz w:val="19"/>
          <w:szCs w:val="19"/>
        </w:rPr>
        <w:t xml:space="preserve">Q. McNemar, Note on the Sampling Error of the Difference Between Correlated Proportions, Psychometrika, 1947.</w:t>
      </w:r>
    </w:p>
    <w:p>
      <w:pPr>
        <w:keepNext/>
        <w:spacing w:after="20"/>
        <w:ind w:left="620"/>
      </w:pPr>
      <w:r>
        <w:rPr>
          <w:color w:val="1E7B34"/>
          <w:sz w:val="18"/>
          <w:szCs w:val="18"/>
        </w:rPr>
        <w:t xml:space="preserve">→ Paired significance test</w:t>
      </w:r>
    </w:p>
    <w:p>
      <w:pPr>
        <w:spacing w:after="130"/>
        <w:ind w:left="620"/>
      </w:pPr>
      <w:hyperlink w:history="1" r:id="rId6ovpnml6qlggortzyj8kc">
        <w:r>
          <w:rPr>
            <w:color w:val="2A78D6"/>
            <w:sz w:val="17"/>
            <w:szCs w:val="17"/>
            <w:u w:val="single"/>
          </w:rPr>
          <w:t xml:space="preserve">https://doi.org/10.1007/BF02295996</w:t>
        </w:r>
      </w:hyperlink>
    </w:p>
    <w:p>
      <w:pPr>
        <w:keepNext/>
        <w:keepLines/>
        <w:tabs>
          <w:tab w:val="left" w:pos="620"/>
        </w:tabs>
        <w:spacing w:after="20"/>
        <w:ind w:left="620" w:hanging="620"/>
      </w:pPr>
      <w:bookmarkStart w:name="bm_ref_37" w:id="1"/>
      <w:r>
        <w:rPr>
          <w:b/>
          <w:bCs/>
          <w:color w:val="0B2545"/>
        </w:rPr>
        <w:t xml:space="preserve">[37]</w:t>
      </w:r>
      <w:bookmarkEnd w:id="1"/>
      <w:r>
        <w:t xml:space="preserve">	</w:t>
      </w:r>
      <w:r>
        <w:rPr>
          <w:sz w:val="19"/>
          <w:szCs w:val="19"/>
        </w:rPr>
        <w:t xml:space="preserve">VRSBench on Hugging Face — dataset files used for training and evaluation.</w:t>
      </w:r>
    </w:p>
    <w:p>
      <w:pPr>
        <w:spacing w:after="130"/>
        <w:ind w:left="620"/>
      </w:pPr>
      <w:hyperlink w:history="1" r:id="rIdgia__sa5gxiqywimlg0jl">
        <w:r>
          <w:rPr>
            <w:color w:val="2A78D6"/>
            <w:sz w:val="17"/>
            <w:szCs w:val="17"/>
            <w:u w:val="single"/>
          </w:rPr>
          <w:t xml:space="preserve">https://huggingface.co/datasets/xiang709/VRSBench</w:t>
        </w:r>
      </w:hyperlink>
    </w:p>
    <w:p>
      <w:pPr>
        <w:keepNext/>
        <w:keepLines/>
        <w:tabs>
          <w:tab w:val="left" w:pos="620"/>
        </w:tabs>
        <w:spacing w:after="20"/>
        <w:ind w:left="620" w:hanging="620"/>
      </w:pPr>
      <w:bookmarkStart w:name="bm_ref_38" w:id="1"/>
      <w:r>
        <w:rPr>
          <w:b/>
          <w:bCs/>
          <w:color w:val="0B2545"/>
        </w:rPr>
        <w:t xml:space="preserve">[38]</w:t>
      </w:r>
      <w:bookmarkEnd w:id="1"/>
      <w:r>
        <w:t xml:space="preserve">	</w:t>
      </w:r>
      <w:r>
        <w:rPr>
          <w:sz w:val="19"/>
          <w:szCs w:val="19"/>
        </w:rPr>
        <w:t xml:space="preserve">S. Brown, The C4 Model for Visualising Software Architecture.</w:t>
      </w:r>
    </w:p>
    <w:p>
      <w:pPr>
        <w:keepNext/>
        <w:spacing w:after="20"/>
        <w:ind w:left="620"/>
      </w:pPr>
      <w:r>
        <w:rPr>
          <w:color w:val="1E7B34"/>
          <w:sz w:val="18"/>
          <w:szCs w:val="18"/>
        </w:rPr>
        <w:t xml:space="preserve">→ Architecture notation in §5</w:t>
      </w:r>
    </w:p>
    <w:p>
      <w:pPr>
        <w:spacing w:after="130"/>
        <w:ind w:left="620"/>
      </w:pPr>
      <w:hyperlink w:history="1" r:id="rIduinj4oxlmfptcdevkkoaw">
        <w:r>
          <w:rPr>
            <w:color w:val="2A78D6"/>
            <w:sz w:val="17"/>
            <w:szCs w:val="17"/>
            <w:u w:val="single"/>
          </w:rPr>
          <w:t xml:space="preserve">https://c4model.com/</w:t>
        </w:r>
      </w:hyperlink>
    </w:p>
    <w:p>
      <w:pPr>
        <w:keepNext/>
        <w:keepLines/>
        <w:tabs>
          <w:tab w:val="left" w:pos="620"/>
        </w:tabs>
        <w:spacing w:after="20"/>
        <w:ind w:left="620" w:hanging="620"/>
      </w:pPr>
      <w:bookmarkStart w:name="bm_ref_39" w:id="1"/>
      <w:r>
        <w:rPr>
          <w:b/>
          <w:bCs/>
          <w:color w:val="0B2545"/>
        </w:rPr>
        <w:t xml:space="preserve">[39]</w:t>
      </w:r>
      <w:bookmarkEnd w:id="1"/>
      <w:r>
        <w:t xml:space="preserve">	</w:t>
      </w:r>
      <w:r>
        <w:rPr>
          <w:sz w:val="19"/>
          <w:szCs w:val="19"/>
        </w:rPr>
        <w:t xml:space="preserve">Smart India Hackathon 2026 — official portal (problem statement 26167, ISRO).</w:t>
      </w:r>
    </w:p>
    <w:p>
      <w:pPr>
        <w:spacing w:after="130"/>
        <w:ind w:left="620"/>
      </w:pPr>
      <w:hyperlink w:history="1" r:id="rId3i6uipe4oncdfdxxpkuif">
        <w:r>
          <w:rPr>
            <w:color w:val="2A78D6"/>
            <w:sz w:val="17"/>
            <w:szCs w:val="17"/>
            <w:u w:val="single"/>
          </w:rPr>
          <w:t xml:space="preserve">https://sih.gov.in/</w:t>
        </w:r>
      </w:hyperlink>
    </w:p>
    <w:p>
      <w:pPr>
        <w:pStyle w:val="Heading1"/>
        <w:pageBreakBefore/>
        <w:pBdr>
          <w:bottom w:val="single" w:color="0B2545" w:sz="18" w:space="4"/>
        </w:pBdr>
      </w:pPr>
      <w:bookmarkStart w:name="bm_glossary" w:id="1"/>
      <w:r>
        <w:t xml:space="preserve">Appendix A — Glossary</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34"/>
        <w:gridCol w:w="7212"/>
      </w:tblGrid>
      <w:tr>
        <w:trPr>
          <w:tblHeader/>
        </w:trPr>
        <w:tc>
          <w:tcPr>
            <w:tcW w:type="dxa" w:w="2534"/>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Term</w:t>
            </w:r>
          </w:p>
        </w:tc>
        <w:tc>
          <w:tcPr>
            <w:tcW w:type="dxa" w:w="7212"/>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Meaning</w:t>
            </w:r>
          </w:p>
        </w:tc>
      </w:tr>
      <w:tr>
        <w:trPr>
          <w:cantSplit/>
        </w:trPr>
        <w:tc>
          <w:tcPr>
            <w:tcW w:type="dxa" w:w="253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Ablation</w:t>
            </w:r>
          </w:p>
        </w:tc>
        <w:tc>
          <w:tcPr>
            <w:tcW w:type="dxa" w:w="7212"/>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Switching parts of a system on one at a time to measure what each contributes</w:t>
            </w:r>
          </w:p>
        </w:tc>
      </w:tr>
      <w:tr>
        <w:trPr>
          <w:cantSplit/>
        </w:trPr>
        <w:tc>
          <w:tcPr>
            <w:tcW w:type="dxa" w:w="253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Abstention</w:t>
            </w:r>
          </w:p>
        </w:tc>
        <w:tc>
          <w:tcPr>
            <w:tcW w:type="dxa" w:w="7212"/>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Declining to answer because no evidence cleared the confidence threshold</w:t>
            </w:r>
          </w:p>
        </w:tc>
      </w:tr>
      <w:tr>
        <w:trPr>
          <w:cantSplit/>
        </w:trPr>
        <w:tc>
          <w:tcPr>
            <w:tcW w:type="dxa" w:w="253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Adapter (LoRA)</w:t>
            </w:r>
          </w:p>
        </w:tc>
        <w:tc>
          <w:tcPr>
            <w:tcW w:type="dxa" w:w="7212"/>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A small set of trained weights added to a frozen model to specialise it</w:t>
            </w:r>
          </w:p>
        </w:tc>
      </w:tr>
      <w:tr>
        <w:trPr>
          <w:cantSplit/>
        </w:trPr>
        <w:tc>
          <w:tcPr>
            <w:tcW w:type="dxa" w:w="253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Backscatter</w:t>
            </w:r>
          </w:p>
        </w:tc>
        <w:tc>
          <w:tcPr>
            <w:tcW w:type="dxa" w:w="7212"/>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The radar energy returned to a SAR sensor; bright for buildings, dark for calm water</w:t>
            </w:r>
          </w:p>
        </w:tc>
      </w:tr>
      <w:tr>
        <w:trPr>
          <w:cantSplit/>
        </w:trPr>
        <w:tc>
          <w:tcPr>
            <w:tcW w:type="dxa" w:w="253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Calibration / ECE</w:t>
            </w:r>
          </w:p>
        </w:tc>
        <w:tc>
          <w:tcPr>
            <w:tcW w:type="dxa" w:w="7212"/>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Agreement between stated confidence and actual accuracy; Expected Calibration Error measures the gap</w:t>
            </w:r>
          </w:p>
        </w:tc>
      </w:tr>
      <w:tr>
        <w:trPr>
          <w:cantSplit/>
        </w:trPr>
        <w:tc>
          <w:tcPr>
            <w:tcW w:type="dxa" w:w="253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Co-registration</w:t>
            </w:r>
          </w:p>
        </w:tc>
        <w:tc>
          <w:tcPr>
            <w:tcW w:type="dxa" w:w="7212"/>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Pixel-for-pixel alignment of two images of the same ground</w:t>
            </w:r>
          </w:p>
        </w:tc>
      </w:tr>
      <w:tr>
        <w:trPr>
          <w:cantSplit/>
        </w:trPr>
        <w:tc>
          <w:tcPr>
            <w:tcW w:type="dxa" w:w="253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CRS / EPSG code</w:t>
            </w:r>
          </w:p>
        </w:tc>
        <w:tc>
          <w:tcPr>
            <w:tcW w:type="dxa" w:w="7212"/>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Coordinate reference system, e.g. EPSG:4326 (latitude/longitude) or UTM (metres)</w:t>
            </w:r>
          </w:p>
        </w:tc>
      </w:tr>
      <w:tr>
        <w:trPr>
          <w:cantSplit/>
        </w:trPr>
        <w:tc>
          <w:tcPr>
            <w:tcW w:type="dxa" w:w="253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Execution trace</w:t>
            </w:r>
          </w:p>
        </w:tc>
        <w:tc>
          <w:tcPr>
            <w:tcW w:type="dxa" w:w="7212"/>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The factual audit log of what the system ran — the part ISRO evaluates</w:t>
            </w:r>
          </w:p>
        </w:tc>
      </w:tr>
      <w:tr>
        <w:trPr>
          <w:cantSplit/>
        </w:trPr>
        <w:tc>
          <w:tcPr>
            <w:tcW w:type="dxa" w:w="253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F1 / IoU</w:t>
            </w:r>
          </w:p>
        </w:tc>
        <w:tc>
          <w:tcPr>
            <w:tcW w:type="dxa" w:w="7212"/>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Standard accuracy measures for detection (F1) and overlap of regions (Intersection over Union)</w:t>
            </w:r>
          </w:p>
        </w:tc>
      </w:tr>
      <w:tr>
        <w:trPr>
          <w:cantSplit/>
        </w:trPr>
        <w:tc>
          <w:tcPr>
            <w:tcW w:type="dxa" w:w="253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GeoJSON</w:t>
            </w:r>
          </w:p>
        </w:tc>
        <w:tc>
          <w:tcPr>
            <w:tcW w:type="dxa" w:w="7212"/>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Open format for map features; opens directly in QGIS and web maps</w:t>
            </w:r>
          </w:p>
        </w:tc>
      </w:tr>
      <w:tr>
        <w:trPr>
          <w:cantSplit/>
        </w:trPr>
        <w:tc>
          <w:tcPr>
            <w:tcW w:type="dxa" w:w="253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GeoTIFF</w:t>
            </w:r>
          </w:p>
        </w:tc>
        <w:tc>
          <w:tcPr>
            <w:tcW w:type="dxa" w:w="7212"/>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An image file that also stores where on Earth each pixel is</w:t>
            </w:r>
          </w:p>
        </w:tc>
      </w:tr>
      <w:tr>
        <w:trPr>
          <w:cantSplit/>
        </w:trPr>
        <w:tc>
          <w:tcPr>
            <w:tcW w:type="dxa" w:w="253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Grounding</w:t>
            </w:r>
          </w:p>
        </w:tc>
        <w:tc>
          <w:tcPr>
            <w:tcW w:type="dxa" w:w="7212"/>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Locating the region an instruction refers to</w:t>
            </w:r>
          </w:p>
        </w:tc>
      </w:tr>
      <w:tr>
        <w:trPr>
          <w:cantSplit/>
        </w:trPr>
        <w:tc>
          <w:tcPr>
            <w:tcW w:type="dxa" w:w="253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Late fusion</w:t>
            </w:r>
          </w:p>
        </w:tc>
        <w:tc>
          <w:tcPr>
            <w:tcW w:type="dxa" w:w="7212"/>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Analysing each sensor separately, then combining their conclusions</w:t>
            </w:r>
          </w:p>
        </w:tc>
      </w:tr>
      <w:tr>
        <w:trPr>
          <w:cantSplit/>
        </w:trPr>
        <w:tc>
          <w:tcPr>
            <w:tcW w:type="dxa" w:w="253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McNemar's test</w:t>
            </w:r>
          </w:p>
        </w:tc>
        <w:tc>
          <w:tcPr>
            <w:tcW w:type="dxa" w:w="7212"/>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A significance test for paired right/wrong outcomes on the same items</w:t>
            </w:r>
          </w:p>
        </w:tc>
      </w:tr>
      <w:tr>
        <w:trPr>
          <w:cantSplit/>
        </w:trPr>
        <w:tc>
          <w:tcPr>
            <w:tcW w:type="dxa" w:w="253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NDVI / NDWI</w:t>
            </w:r>
          </w:p>
        </w:tc>
        <w:tc>
          <w:tcPr>
            <w:tcW w:type="dxa" w:w="7212"/>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Spectral indices that highlight vegetation and water</w:t>
            </w:r>
          </w:p>
        </w:tc>
      </w:tr>
      <w:tr>
        <w:trPr>
          <w:cantSplit/>
        </w:trPr>
        <w:tc>
          <w:tcPr>
            <w:tcW w:type="dxa" w:w="253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QLoRA</w:t>
            </w:r>
          </w:p>
        </w:tc>
        <w:tc>
          <w:tcPr>
            <w:tcW w:type="dxa" w:w="7212"/>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LoRA training on a model stored in 4-bit precision, to fit small GPUs</w:t>
            </w:r>
          </w:p>
        </w:tc>
      </w:tr>
      <w:tr>
        <w:trPr>
          <w:cantSplit/>
        </w:trPr>
        <w:tc>
          <w:tcPr>
            <w:tcW w:type="dxa" w:w="253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SAR</w:t>
            </w:r>
          </w:p>
        </w:tc>
        <w:tc>
          <w:tcPr>
            <w:tcW w:type="dxa" w:w="7212"/>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Synthetic Aperture Radar — an active sensor that sees through cloud, day and night</w:t>
            </w:r>
          </w:p>
        </w:tc>
      </w:tr>
      <w:tr>
        <w:trPr>
          <w:cantSplit/>
        </w:trPr>
        <w:tc>
          <w:tcPr>
            <w:tcW w:type="dxa" w:w="253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Speckle</w:t>
            </w:r>
          </w:p>
        </w:tc>
        <w:tc>
          <w:tcPr>
            <w:tcW w:type="dxa" w:w="7212"/>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Grainy multiplicative noise inherent to SAR images</w:t>
            </w:r>
          </w:p>
        </w:tc>
      </w:tr>
      <w:tr>
        <w:trPr>
          <w:cantSplit/>
        </w:trPr>
        <w:tc>
          <w:tcPr>
            <w:tcW w:type="dxa" w:w="253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VQA</w:t>
            </w:r>
          </w:p>
        </w:tc>
        <w:tc>
          <w:tcPr>
            <w:tcW w:type="dxa" w:w="7212"/>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Visual Question Answering</w:t>
            </w:r>
          </w:p>
        </w:tc>
      </w:tr>
      <w:tr>
        <w:trPr>
          <w:cantSplit/>
        </w:trPr>
        <w:tc>
          <w:tcPr>
            <w:tcW w:type="dxa" w:w="253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Zero-shot</w:t>
            </w:r>
          </w:p>
        </w:tc>
        <w:tc>
          <w:tcPr>
            <w:tcW w:type="dxa" w:w="7212"/>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A model evaluated without any training on the target task — the baseline for measuring adaptation</w:t>
            </w:r>
          </w:p>
        </w:tc>
      </w:tr>
    </w:tbl>
    <w:p>
      <w:pPr>
        <w:pStyle w:val="Heading1"/>
        <w:pageBreakBefore/>
        <w:pBdr>
          <w:bottom w:val="single" w:color="0B2545" w:sz="18" w:space="4"/>
        </w:pBdr>
      </w:pPr>
      <w:bookmarkStart w:name="bm_repro" w:id="1"/>
      <w:r>
        <w:t xml:space="preserve">Appendix B — Reproducing the Results</w:t>
      </w:r>
      <w:bookmarkEnd w:id="1"/>
    </w:p>
    <w:p>
      <w:pPr>
        <w:jc w:val="both"/>
      </w:pPr>
      <w:r>
        <w:t xml:space="preserve">All commands run from the </w:t>
      </w:r>
      <w:r>
        <w:rPr>
          <w:rFonts w:ascii="Consolas" w:cs="Consolas" w:eastAsia="Consolas" w:hAnsi="Consolas"/>
          <w:sz w:val="19"/>
          <w:szCs w:val="19"/>
          <w:shd w:fill="EEF1F5" w:color="auto" w:val="clear"/>
        </w:rPr>
        <w:t xml:space="preserve">167/</w:t>
      </w:r>
      <w:r>
        <w:t xml:space="preserve"> folder of the team repository.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none" w:color="FFFFFF" w:sz="0"/>
              <w:left w:val="single" w:color="EDA100" w:sz="30"/>
              <w:bottom w:val="none" w:color="FFFFFF" w:sz="0"/>
              <w:right w:val="none" w:color="FFFFFF" w:sz="0"/>
            </w:tcBorders>
            <w:shd w:fill="0F1B2D" w:color="auto" w:val="clear"/>
            <w:tcMar>
              <w:top w:type="dxa" w:w="120"/>
              <w:left w:type="dxa" w:w="180"/>
              <w:bottom w:type="dxa" w:w="120"/>
              <w:right w:type="dxa" w:w="180"/>
            </w:tcMar>
          </w:tcPr>
          <w:p>
            <w:pPr>
              <w:spacing w:after="0" w:line="240"/>
            </w:pPr>
            <w:r>
              <w:rPr>
                <w:rFonts w:ascii="Consolas" w:cs="Consolas" w:eastAsia="Consolas" w:hAnsi="Consolas"/>
                <w:color w:val="E6EDF6"/>
                <w:sz w:val="16"/>
                <w:szCs w:val="16"/>
              </w:rPr>
              <w:t xml:space="preserve">python -m satquery.cli selftest     # 49 checks, ~2 s</w:t>
            </w:r>
          </w:p>
          <w:p>
            <w:pPr>
              <w:spacing w:after="0" w:line="240"/>
            </w:pPr>
            <w:r>
              <w:rPr>
                <w:rFonts w:ascii="Consolas" w:cs="Consolas" w:eastAsia="Consolas" w:hAnsi="Consolas"/>
                <w:color w:val="E6EDF6"/>
                <w:sz w:val="16"/>
                <w:szCs w:val="16"/>
              </w:rPr>
              <w:t xml:space="preserve">python -m satquery.cli demo         # one cross-modal run with its trace</w:t>
            </w:r>
          </w:p>
          <w:p>
            <w:pPr>
              <w:spacing w:after="0" w:line="240"/>
            </w:pPr>
            <w:r>
              <w:rPr>
                <w:rFonts w:ascii="Consolas" w:cs="Consolas" w:eastAsia="Consolas" w:hAnsi="Consolas"/>
                <w:color w:val="E6EDF6"/>
                <w:sz w:val="16"/>
                <w:szCs w:val="16"/>
              </w:rPr>
              <w:t xml:space="preserve">python -m satquery.cli eval         # task metrics and the A–E ablation</w:t>
            </w:r>
          </w:p>
          <w:p>
            <w:pPr>
              <w:spacing w:after="0" w:line="240"/>
            </w:pPr>
            <w:r>
              <w:rPr>
                <w:rFonts w:ascii="Consolas" w:cs="Consolas" w:eastAsia="Consolas" w:hAnsi="Consolas"/>
                <w:color w:val="E6EDF6"/>
                <w:sz w:val="16"/>
                <w:szCs w:val="16"/>
              </w:rPr>
              <w:t xml:space="preserve">python -m satquery.cli serve --adapters models/adapters   # UI + API on :8000</w:t>
            </w:r>
          </w:p>
          <w:p>
            <w:pPr>
              <w:spacing w:after="0" w:line="240"/>
            </w:pPr>
            <w:r>
              <w:rPr>
                <w:rFonts w:ascii="Consolas" w:cs="Consolas" w:eastAsia="Consolas" w:hAnsi="Consolas"/>
                <w:color w:val="E6EDF6"/>
                <w:sz w:val="16"/>
                <w:szCs w:val="16"/>
              </w:rPr>
              <w:t xml:space="preserve"> </w:t>
            </w:r>
          </w:p>
          <w:p>
            <w:pPr>
              <w:spacing w:after="0" w:line="240"/>
            </w:pPr>
            <w:r>
              <w:rPr>
                <w:rFonts w:ascii="Consolas" w:cs="Consolas" w:eastAsia="Consolas" w:hAnsi="Consolas"/>
                <w:color w:val="E6EDF6"/>
                <w:sz w:val="16"/>
                <w:szCs w:val="16"/>
              </w:rPr>
              <w:t xml:space="preserve"># M1 — zero-shot and adapted, same script, same 2,000 items</w:t>
            </w:r>
          </w:p>
          <w:p>
            <w:pPr>
              <w:spacing w:after="0" w:line="240"/>
            </w:pPr>
            <w:r>
              <w:rPr>
                <w:rFonts w:ascii="Consolas" w:cs="Consolas" w:eastAsia="Consolas" w:hAnsi="Consolas"/>
                <w:color w:val="E6EDF6"/>
                <w:sz w:val="16"/>
                <w:szCs w:val="16"/>
              </w:rPr>
              <w:t xml:space="preserve">python models/eval_baseline.py --seed 0 --limit 2000</w:t>
            </w:r>
          </w:p>
          <w:p>
            <w:pPr>
              <w:spacing w:after="0" w:line="240"/>
            </w:pPr>
            <w:r>
              <w:rPr>
                <w:rFonts w:ascii="Consolas" w:cs="Consolas" w:eastAsia="Consolas" w:hAnsi="Consolas"/>
                <w:color w:val="E6EDF6"/>
                <w:sz w:val="16"/>
                <w:szCs w:val="16"/>
              </w:rPr>
              <w:t xml:space="preserve">python models/eval_baseline.py --seed 0 --limit 2000 --adapter &lt;adapter-dir&gt;</w:t>
            </w:r>
          </w:p>
          <w:p>
            <w:pPr>
              <w:spacing w:after="0" w:line="240"/>
            </w:pPr>
            <w:r>
              <w:rPr>
                <w:rFonts w:ascii="Consolas" w:cs="Consolas" w:eastAsia="Consolas" w:hAnsi="Consolas"/>
                <w:color w:val="E6EDF6"/>
                <w:sz w:val="16"/>
                <w:szCs w:val="16"/>
              </w:rPr>
              <w:t xml:space="preserve"> </w:t>
            </w:r>
          </w:p>
          <w:p>
            <w:pPr>
              <w:spacing w:after="0" w:line="240"/>
            </w:pPr>
            <w:r>
              <w:rPr>
                <w:rFonts w:ascii="Consolas" w:cs="Consolas" w:eastAsia="Consolas" w:hAnsi="Consolas"/>
                <w:color w:val="E6EDF6"/>
                <w:sz w:val="16"/>
                <w:szCs w:val="16"/>
              </w:rPr>
              <w:t xml:space="preserve"># M1 — training (Kaggle T4, resumable)</w:t>
            </w:r>
          </w:p>
          <w:p>
            <w:pPr>
              <w:spacing w:after="0" w:line="240"/>
            </w:pPr>
            <w:r>
              <w:rPr>
                <w:rFonts w:ascii="Consolas" w:cs="Consolas" w:eastAsia="Consolas" w:hAnsi="Consolas"/>
                <w:color w:val="E6EDF6"/>
                <w:sz w:val="16"/>
                <w:szCs w:val="16"/>
              </w:rPr>
              <w:t xml:space="preserve">python models/train_rs_vqa.py --resume</w:t>
            </w:r>
          </w:p>
        </w:tc>
      </w:tr>
    </w:tbl>
    <w:p>
      <w:pPr>
        <w:spacing w:after="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4"/>
        <w:gridCol w:w="6432"/>
      </w:tblGrid>
      <w:tr>
        <w:trPr>
          <w:tblHeader/>
        </w:trPr>
        <w:tc>
          <w:tcPr>
            <w:tcW w:type="dxa" w:w="3314"/>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Path</w:t>
            </w:r>
          </w:p>
        </w:tc>
        <w:tc>
          <w:tcPr>
            <w:tcW w:type="dxa" w:w="6432"/>
            <w:tcBorders>
              <w:top w:val="single" w:color="0B2545" w:sz="4"/>
              <w:left w:val="single" w:color="0B2545" w:sz="4"/>
              <w:bottom w:val="single" w:color="0B2545" w:sz="4"/>
              <w:right w:val="single" w:color="0B2545" w:sz="4"/>
            </w:tcBorders>
            <w:shd w:fill="0B2545" w:color="auto" w:val="clear"/>
            <w:tcMar>
              <w:top w:type="dxa" w:w="70"/>
              <w:left w:type="dxa" w:w="100"/>
              <w:bottom w:type="dxa" w:w="70"/>
              <w:right w:type="dxa" w:w="100"/>
            </w:tcMar>
          </w:tcPr>
          <w:p>
            <w:pPr>
              <w:spacing w:after="0"/>
            </w:pPr>
            <w:r>
              <w:rPr>
                <w:rFonts w:ascii="Segoe UI" w:cs="Segoe UI" w:eastAsia="Segoe UI" w:hAnsi="Segoe UI"/>
                <w:b/>
                <w:bCs/>
                <w:color w:val="FFFFFF"/>
                <w:sz w:val="18"/>
                <w:szCs w:val="18"/>
              </w:rPr>
              <w:t xml:space="preserve">Contents</w:t>
            </w:r>
          </w:p>
        </w:tc>
      </w:tr>
      <w:tr>
        <w:trPr>
          <w:cantSplit/>
        </w:trPr>
        <w:tc>
          <w:tcPr>
            <w:tcW w:type="dxa" w:w="331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rFonts w:ascii="Consolas" w:cs="Consolas" w:eastAsia="Consolas" w:hAnsi="Consolas"/>
                <w:sz w:val="17"/>
                <w:szCs w:val="17"/>
                <w:shd w:fill="EEF1F5" w:color="auto" w:val="clear"/>
              </w:rPr>
              <w:t xml:space="preserve">docs/</w:t>
            </w:r>
          </w:p>
        </w:tc>
        <w:tc>
          <w:tcPr>
            <w:tcW w:type="dxa" w:w="6432"/>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Official problem statement, deep analysis, model specification, system design, PRD, TRD, decision record, ADRs</w:t>
            </w:r>
          </w:p>
        </w:tc>
      </w:tr>
      <w:tr>
        <w:trPr>
          <w:cantSplit/>
        </w:trPr>
        <w:tc>
          <w:tcPr>
            <w:tcW w:type="dxa" w:w="331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rFonts w:ascii="Consolas" w:cs="Consolas" w:eastAsia="Consolas" w:hAnsi="Consolas"/>
                <w:sz w:val="17"/>
                <w:szCs w:val="17"/>
                <w:shd w:fill="EEF1F5" w:color="auto" w:val="clear"/>
              </w:rPr>
              <w:t xml:space="preserve">satquery/</w:t>
            </w:r>
          </w:p>
        </w:tc>
        <w:tc>
          <w:tcPr>
            <w:tcW w:type="dxa" w:w="6432"/>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The Python package: raster, validate, router, specialists, runtime, evidence, pipeline, report, server</w:t>
            </w:r>
          </w:p>
        </w:tc>
      </w:tr>
      <w:tr>
        <w:trPr>
          <w:cantSplit/>
        </w:trPr>
        <w:tc>
          <w:tcPr>
            <w:tcW w:type="dxa" w:w="3314"/>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rFonts w:ascii="Consolas" w:cs="Consolas" w:eastAsia="Consolas" w:hAnsi="Consolas"/>
                <w:sz w:val="17"/>
                <w:szCs w:val="17"/>
                <w:shd w:fill="EEF1F5" w:color="auto" w:val="clear"/>
              </w:rPr>
              <w:t xml:space="preserve">web/</w:t>
            </w:r>
          </w:p>
        </w:tc>
        <w:tc>
          <w:tcPr>
            <w:tcW w:type="dxa" w:w="6432"/>
            <w:tcBorders>
              <w:top w:val="single" w:color="D8DDE5" w:sz="4"/>
              <w:left w:val="single" w:color="D8DDE5" w:sz="4"/>
              <w:bottom w:val="single" w:color="D8DDE5" w:sz="4"/>
              <w:right w:val="single" w:color="D8DDE5" w:sz="4"/>
            </w:tcBorders>
            <w:shd w:fill="FFFFFF" w:color="auto" w:val="clear"/>
            <w:tcMar>
              <w:top w:type="dxa" w:w="60"/>
              <w:left w:type="dxa" w:w="100"/>
              <w:bottom w:type="dxa" w:w="60"/>
              <w:right w:type="dxa" w:w="100"/>
            </w:tcMar>
          </w:tcPr>
          <w:p>
            <w:pPr>
              <w:spacing w:after="0" w:line="264"/>
            </w:pPr>
            <w:r>
              <w:rPr>
                <w:sz w:val="19"/>
                <w:szCs w:val="19"/>
              </w:rPr>
              <w:t xml:space="preserve">React + three.js workstation</w:t>
            </w:r>
          </w:p>
        </w:tc>
      </w:tr>
      <w:tr>
        <w:trPr>
          <w:cantSplit/>
        </w:trPr>
        <w:tc>
          <w:tcPr>
            <w:tcW w:type="dxa" w:w="3314"/>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rFonts w:ascii="Consolas" w:cs="Consolas" w:eastAsia="Consolas" w:hAnsi="Consolas"/>
                <w:sz w:val="17"/>
                <w:szCs w:val="17"/>
                <w:shd w:fill="EEF1F5" w:color="auto" w:val="clear"/>
              </w:rPr>
              <w:t xml:space="preserve">models/</w:t>
            </w:r>
          </w:p>
        </w:tc>
        <w:tc>
          <w:tcPr>
            <w:tcW w:type="dxa" w:w="6432"/>
            <w:tcBorders>
              <w:top w:val="single" w:color="D8DDE5" w:sz="4"/>
              <w:left w:val="single" w:color="D8DDE5" w:sz="4"/>
              <w:bottom w:val="single" w:color="D8DDE5" w:sz="4"/>
              <w:right w:val="single" w:color="D8DDE5" w:sz="4"/>
            </w:tcBorders>
            <w:shd w:fill="F8F9FB" w:color="auto" w:val="clear"/>
            <w:tcMar>
              <w:top w:type="dxa" w:w="60"/>
              <w:left w:type="dxa" w:w="100"/>
              <w:bottom w:type="dxa" w:w="60"/>
              <w:right w:type="dxa" w:w="100"/>
            </w:tcMar>
          </w:tcPr>
          <w:p>
            <w:pPr>
              <w:spacing w:after="0" w:line="264"/>
            </w:pPr>
            <w:r>
              <w:rPr>
                <w:sz w:val="19"/>
                <w:szCs w:val="19"/>
              </w:rPr>
              <w:t xml:space="preserve">Training, evaluation, calibration and pre-compute scripts; </w:t>
            </w:r>
            <w:r>
              <w:rPr>
                <w:rFonts w:ascii="Consolas" w:cs="Consolas" w:eastAsia="Consolas" w:hAnsi="Consolas"/>
                <w:sz w:val="17"/>
                <w:szCs w:val="17"/>
                <w:shd w:fill="EEF1F5" w:color="auto" w:val="clear"/>
              </w:rPr>
              <w:t xml:space="preserve">MANIFEST.md</w:t>
            </w:r>
            <w:r>
              <w:rPr>
                <w:sz w:val="19"/>
                <w:szCs w:val="19"/>
              </w:rPr>
              <w:t xml:space="preserve">; stored prediction rows in </w:t>
            </w:r>
            <w:r>
              <w:rPr>
                <w:rFonts w:ascii="Consolas" w:cs="Consolas" w:eastAsia="Consolas" w:hAnsi="Consolas"/>
                <w:sz w:val="17"/>
                <w:szCs w:val="17"/>
                <w:shd w:fill="EEF1F5" w:color="auto" w:val="clear"/>
              </w:rPr>
              <w:t xml:space="preserve">results/</w:t>
            </w:r>
            <w:r>
              <w:rPr>
                <w:sz w:val="19"/>
                <w:szCs w:val="19"/>
              </w:rPr>
              <w:t xml:space="preserve">; the M1 pack</w:t>
            </w:r>
          </w:p>
        </w:tc>
      </w:tr>
    </w:tbl>
    <w:p>
      <w:pPr>
        <w:spacing w:after="160"/>
      </w:pPr>
    </w:p>
    <w:sectPr>
      <w:headerReference w:type="default" r:id="rId7"/>
      <w:footerReference w:type="default" r:id="rId8"/>
      <w:pgSz w:w="11906" w:h="16838" w:orient="portrait"/>
      <w:pgMar w:top="1300" w:right="1080" w:bottom="1100" w:left="1080" w:header="60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color w:val="9CA3AF"/>
        <w:sz w:val="16"/>
        <w:szCs w:val="16"/>
      </w:rPr>
      <w:t xml:space="preserve">Confidential — prepared for ISRO / SIH 2026 evaluation</w:t>
    </w:r>
    <w:r>
      <w:rPr>
        <w:color w:val="6B7280"/>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DE5" w:sz="4" w:space="4"/>
      </w:pBdr>
      <w:tabs>
        <w:tab w:val="right" w:pos="9746"/>
      </w:tabs>
    </w:pPr>
    <w:r>
      <w:rPr>
        <w:color w:val="6B7280"/>
        <w:sz w:val="16"/>
        <w:szCs w:val="16"/>
      </w:rPr>
      <w:t xml:space="preserve">SatQuery AI — Technical Report</w:t>
    </w:r>
    <w:r>
      <w:rPr>
        <w:color w:val="6B7280"/>
        <w:sz w:val="16"/>
        <w:szCs w:val="16"/>
      </w:rPr>
      <w:t xml:space="preserve">	Team BUGHEBUG · PS 26167 · SIH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pPr>
        <w:spacing w:after="12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0"/>
      <w:outlineLvl w:val="0"/>
    </w:pPr>
    <w:rPr>
      <w:rFonts w:ascii="Segoe UI" w:cs="Segoe UI" w:eastAsia="Segoe UI" w:hAnsi="Segoe UI"/>
      <w:b/>
      <w:bCs/>
      <w:color w:val="0B2545"/>
      <w:sz w:val="38"/>
      <w:szCs w:val="38"/>
    </w:rPr>
  </w:style>
  <w:style w:type="paragraph" w:styleId="Heading2">
    <w:name w:val="Heading 2"/>
    <w:basedOn w:val="Normal"/>
    <w:next w:val="Normal"/>
    <w:qFormat/>
    <w:pPr>
      <w:keepNext/>
      <w:spacing w:after="120" w:before="320"/>
      <w:outlineLvl w:val="1"/>
    </w:pPr>
    <w:rPr>
      <w:rFonts w:ascii="Segoe UI" w:cs="Segoe UI" w:eastAsia="Segoe UI" w:hAnsi="Segoe UI"/>
      <w:b/>
      <w:bCs/>
      <w:color w:val="0B2545"/>
      <w:sz w:val="27"/>
      <w:szCs w:val="27"/>
    </w:rPr>
  </w:style>
  <w:style w:type="paragraph" w:styleId="Heading3">
    <w:name w:val="Heading 3"/>
    <w:basedOn w:val="Normal"/>
    <w:next w:val="Normal"/>
    <w:qFormat/>
    <w:pPr>
      <w:keepNext/>
      <w:spacing w:after="90" w:before="220"/>
      <w:outlineLvl w:val="2"/>
    </w:pPr>
    <w:rPr>
      <w:rFonts w:ascii="Segoe UI" w:cs="Segoe UI" w:eastAsia="Segoe UI" w:hAnsi="Segoe UI"/>
      <w:b/>
      <w:bCs/>
      <w:color w:val="2432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e0wgnfbpvqrk0tmikhbdi" Type="http://schemas.openxmlformats.org/officeDocument/2006/relationships/hyperlink" Target="https://arxiv.org/abs/2603.29630" TargetMode="External"/><Relationship Id="rIdyiixeosqtpbgs5qywzeup" Type="http://schemas.openxmlformats.org/officeDocument/2006/relationships/hyperlink" Target="https://txt.bigearth.net/" TargetMode="External"/><Relationship Id="rIdnuvulcta1ixomfjgazc-s" Type="http://schemas.openxmlformats.org/officeDocument/2006/relationships/hyperlink" Target="https://huggingface.co/datasets/BIFOLD-BigEarthNetv2-0/BigEarthNet.txt" TargetMode="External"/><Relationship Id="rIdmjgfpwyt79a8-vw4sn0rd" Type="http://schemas.openxmlformats.org/officeDocument/2006/relationships/hyperlink" Target="https://github.com/lx709/VRSBench" TargetMode="External"/><Relationship Id="rIdesu6c3upzqjxkhn8k-aey" Type="http://schemas.openxmlformats.org/officeDocument/2006/relationships/hyperlink" Target="https://arxiv.org/abs/2003.07333" TargetMode="External"/><Relationship Id="rIdp6o79itfawmnmbc06i6b4" Type="http://schemas.openxmlformats.org/officeDocument/2006/relationships/hyperlink" Target="https://rsvqa.sylvainlobry.com/" TargetMode="External"/><Relationship Id="rIdx1gjgbudj65n2qpjcsl8c" Type="http://schemas.openxmlformats.org/officeDocument/2006/relationships/hyperlink" Target="https://arxiv.org/abs/2112.06343" TargetMode="External"/><Relationship Id="rIdlz5bwjmr3kuiebbzrkrzk" Type="http://schemas.openxmlformats.org/officeDocument/2006/relationships/hyperlink" Target="https://github.com/YZHJessica/CDVQA" TargetMode="External"/><Relationship Id="rId9hj8hajlpflv_h_vyig49" Type="http://schemas.openxmlformats.org/officeDocument/2006/relationships/hyperlink" Target="https://github.com/mbzuai-oryx/GeoChat" TargetMode="External"/><Relationship Id="rIdohjqtjns6tispumhe4mvn" Type="http://schemas.openxmlformats.org/officeDocument/2006/relationships/hyperlink" Target="https://arxiv.org/abs/2401.16822" TargetMode="External"/><Relationship Id="rIdvu4vuvddl4izlxg8h1rvz" Type="http://schemas.openxmlformats.org/officeDocument/2006/relationships/hyperlink" Target="https://arxiv.org/abs/2411.11904" TargetMode="External"/><Relationship Id="rIdejeiz4edwmvfkfoscw2dy" Type="http://schemas.openxmlformats.org/officeDocument/2006/relationships/hyperlink" Target="https://arxiv.org/abs/2106.09685" TargetMode="External"/><Relationship Id="rIdzvvkhhdruq7gxs2j4chzv" Type="http://schemas.openxmlformats.org/officeDocument/2006/relationships/hyperlink" Target="https://arxiv.org/abs/2403.19646" TargetMode="External"/><Relationship Id="rIdwl1-jtukqn3bfcrdauvuz" Type="http://schemas.openxmlformats.org/officeDocument/2006/relationships/hyperlink" Target="https://arxiv.org/abs/2406.07089" TargetMode="External"/><Relationship Id="rId4_howovpih-ddqb2vxduu" Type="http://schemas.openxmlformats.org/officeDocument/2006/relationships/hyperlink" Target="https://arxiv.org/abs/2501.16254" TargetMode="External"/><Relationship Id="rIdgfjvu7kywo-ikzzgcn5ng" Type="http://schemas.openxmlformats.org/officeDocument/2006/relationships/hyperlink" Target="https://arxiv.org/abs/2604.24919" TargetMode="External"/><Relationship Id="rIdn3owicfdvi_9vrz2tcz0c" Type="http://schemas.openxmlformats.org/officeDocument/2006/relationships/hyperlink" Target="https://www.ogc.org/standard/geotiff/" TargetMode="External"/><Relationship Id="rIdyk9whtpnlrjlugxsyi2nu" Type="http://schemas.openxmlformats.org/officeDocument/2006/relationships/hyperlink" Target="https://arxiv.org/abs/1906.07789" TargetMode="External"/><Relationship Id="rIdotxpxsiddnvujr1h2rtig" Type="http://schemas.openxmlformats.org/officeDocument/2006/relationships/hyperlink" Target="https://arxiv.org/abs/2103.05543" TargetMode="External"/><Relationship Id="rIdoccgalodltwyujo8g9ctz" Type="http://schemas.openxmlformats.org/officeDocument/2006/relationships/hyperlink" Target="https://bhoonidhi.nrsc.gov.in/" TargetMode="External"/><Relationship Id="rIdouvgterdqmsaa2270fvsy" Type="http://schemas.openxmlformats.org/officeDocument/2006/relationships/hyperlink" Target="https://bhoonidhi.nrsc.gov.in/" TargetMode="External"/><Relationship Id="rIdkw_n0vyvgoftfqxv0l_kd" Type="http://schemas.openxmlformats.org/officeDocument/2006/relationships/hyperlink" Target="https://tribal.nic.in/fra.aspx" TargetMode="External"/><Relationship Id="rIdfj066t-kixxkihizvff68" Type="http://schemas.openxmlformats.org/officeDocument/2006/relationships/hyperlink" Target="https://www.tribal.mp.gov.in/CMS/Uploaded%20Document/RTI/Rules%20%26%20Regulation/Forest%20Rights%20Amendment%20Rules%202012.pdf" TargetMode="External"/><Relationship Id="rIdgkqcps9gd6fdb_b6xxm4d" Type="http://schemas.openxmlformats.org/officeDocument/2006/relationships/hyperlink" Target="https://tribal.nic.in/downloads/FRA/MPR/2026/%28B%29%20MPR%20Mar%202026.pdf" TargetMode="External"/><Relationship Id="rId0hoorhgntdzadvb4vj2lc" Type="http://schemas.openxmlformats.org/officeDocument/2006/relationships/hyperlink" Target="https://archive.pib.gov.in/newsite/PrintRelease.aspx?relid=259904" TargetMode="External"/><Relationship Id="rIdtzl854buy_pgxa5bwkg3x" Type="http://schemas.openxmlformats.org/officeDocument/2006/relationships/hyperlink" Target="https://www.usgs.gov/landsat-missions/landsat-1" TargetMode="External"/><Relationship Id="rIdtq_z5qbjyilxhby1hddbd" Type="http://schemas.openxmlformats.org/officeDocument/2006/relationships/hyperlink" Target="https://www.usgs.gov/centers/eros/science/usgs-eros-archive-declassified-data-declassified-satellite-imagery-1" TargetMode="External"/><Relationship Id="rIdxzm4vckpoqz5zxjoa_kro" Type="http://schemas.openxmlformats.org/officeDocument/2006/relationships/hyperlink" Target="https://dataspace.copernicus.eu/data-collections/copernicus-sentinel-missions/sentinel-2" TargetMode="External"/><Relationship Id="rIdea7zdctgv2sag-tjcn6rf" Type="http://schemas.openxmlformats.org/officeDocument/2006/relationships/hyperlink" Target="https://bhuvan.nrsc.gov.in/" TargetMode="External"/><Relationship Id="rId4lwmb51xymzanzlpkyxzr" Type="http://schemas.openxmlformats.org/officeDocument/2006/relationships/hyperlink" Target="https://doi.org/10.3390/rs10050691" TargetMode="External"/><Relationship Id="rIdeylh_veuwcs3wgcp1hnpk" Type="http://schemas.openxmlformats.org/officeDocument/2006/relationships/hyperlink" Target="https://doi.org/10.1016/j.rse.2014.01.011" TargetMode="External"/><Relationship Id="rIdqiwg6wiclb84nv-m-mtwz" Type="http://schemas.openxmlformats.org/officeDocument/2006/relationships/hyperlink" Target="https://arxiv.org/abs/2409.12191" TargetMode="External"/><Relationship Id="rIdt68cvup1mqy_s1adxokkl" Type="http://schemas.openxmlformats.org/officeDocument/2006/relationships/hyperlink" Target="https://arxiv.org/abs/2305.14314" TargetMode="External"/><Relationship Id="rIduqkuwdwgawgb4sm3amlqv" Type="http://schemas.openxmlformats.org/officeDocument/2006/relationships/hyperlink" Target="https://doi.org/10.1109/TPAMI.1980.4766994" TargetMode="External"/><Relationship Id="rIdkhgvcnhbsdclc1b1nd0le" Type="http://schemas.openxmlformats.org/officeDocument/2006/relationships/hyperlink" Target="https://doi.org/10.1109/TSMC.1979.4310076" TargetMode="External"/><Relationship Id="rId6ovpnml6qlggortzyj8kc" Type="http://schemas.openxmlformats.org/officeDocument/2006/relationships/hyperlink" Target="https://doi.org/10.1007/BF02295996" TargetMode="External"/><Relationship Id="rIdgia__sa5gxiqywimlg0jl" Type="http://schemas.openxmlformats.org/officeDocument/2006/relationships/hyperlink" Target="https://huggingface.co/datasets/xiang709/VRSBench" TargetMode="External"/><Relationship Id="rIduinj4oxlmfptcdevkkoaw" Type="http://schemas.openxmlformats.org/officeDocument/2006/relationships/hyperlink" Target="https://c4model.com/" TargetMode="External"/><Relationship Id="rId3i6uipe4oncdfdxxpkuif" Type="http://schemas.openxmlformats.org/officeDocument/2006/relationships/hyperlink" Target="https://sih.gov.in/" TargetMode="External"/><Relationship Id="rId9" Type="http://schemas.openxmlformats.org/officeDocument/2006/relationships/image" Target="media/9aaee69a76fc6c900e57a5f026c3832427834f84.png"/><Relationship Id="rId10" Type="http://schemas.openxmlformats.org/officeDocument/2006/relationships/image" Target="media/5e820b12a60750baaa17d6b6fcf1c725066f7937.png"/><Relationship Id="rId11" Type="http://schemas.openxmlformats.org/officeDocument/2006/relationships/image" Target="media/11a964fb5df5b7869570a49f49f7196d0fbc1da1.png"/><Relationship Id="rId12" Type="http://schemas.openxmlformats.org/officeDocument/2006/relationships/image" Target="media/3ad702a5ab030ee105dd84cdb94de52531f04509.png"/><Relationship Id="rId13" Type="http://schemas.openxmlformats.org/officeDocument/2006/relationships/image" Target="media/1a2f8390db96e5a2c1de91037be309ecbbb1d346.png"/><Relationship Id="rId14" Type="http://schemas.openxmlformats.org/officeDocument/2006/relationships/image" Target="media/994b3bafc0a267ec307eaf62c9e9a7f987e17f0b.png"/><Relationship Id="rId15" Type="http://schemas.openxmlformats.org/officeDocument/2006/relationships/image" Target="media/85954a884e931aa68200b8cc471924177a4fdc0f.png"/><Relationship Id="rId16" Type="http://schemas.openxmlformats.org/officeDocument/2006/relationships/image" Target="media/7ff1b0150b497cb15c70b8ab910b638cd873ba7b.png"/><Relationship Id="rId17" Type="http://schemas.openxmlformats.org/officeDocument/2006/relationships/image" Target="media/f97336ac756748858646556d8e53bc4c8f2d7210.png"/><Relationship Id="rId18" Type="http://schemas.openxmlformats.org/officeDocument/2006/relationships/image" Target="media/185f687b29c7e568b9af885fed5b5b06877ea5d0.png"/><Relationship Id="rId19" Type="http://schemas.openxmlformats.org/officeDocument/2006/relationships/image" Target="media/3fc2f7e8118e68ea208f66ff2ca8f9198b22c6cb.png"/><Relationship Id="rId20" Type="http://schemas.openxmlformats.org/officeDocument/2006/relationships/image" Target="media/b9c11ddcbe9a6f50c5682d48f8214563a255a674.png"/><Relationship Id="rId21" Type="http://schemas.openxmlformats.org/officeDocument/2006/relationships/image" Target="media/ca65f4e2193785964281317b582977d701ada5a5.png"/><Relationship Id="rId22" Type="http://schemas.openxmlformats.org/officeDocument/2006/relationships/image" Target="media/1898deb129c34e163f860f5d889bd340bf1dd114.png"/><Relationship Id="rId23" Type="http://schemas.openxmlformats.org/officeDocument/2006/relationships/image" Target="media/63eab19f34e31980abc9a22664672127c080cdeb.png"/><Relationship Id="rId24" Type="http://schemas.openxmlformats.org/officeDocument/2006/relationships/image" Target="media/c5bcbdc16821fe5e074b1250a80b68fae9013d21.png"/><Relationship Id="rId25" Type="http://schemas.openxmlformats.org/officeDocument/2006/relationships/image" Target="media/218028e454bf33d10bca6fb3d2ee6e94067bfcd8.png"/><Relationship Id="rId26" Type="http://schemas.openxmlformats.org/officeDocument/2006/relationships/image" Target="media/b74c52a18e70e866714ca3cba49c8994a555008c.png"/><Relationship Id="rId27" Type="http://schemas.openxmlformats.org/officeDocument/2006/relationships/image" Target="media/a6fd62cf73c7169e3704927480d0599d01a96aec.png"/><Relationship Id="rId28" Type="http://schemas.openxmlformats.org/officeDocument/2006/relationships/image" Target="media/de992796234894fda27d657dc4e97ed72e6f3603.png"/><Relationship Id="rId29" Type="http://schemas.openxmlformats.org/officeDocument/2006/relationships/image" Target="media/8093ff1e85474ad59c0937f783fa1661a6ca8ff8.png"/><Relationship Id="rId30" Type="http://schemas.openxmlformats.org/officeDocument/2006/relationships/image" Target="media/3783d50c80c60ad2a57986030614b79665875707.png"/><Relationship Id="rId31" Type="http://schemas.openxmlformats.org/officeDocument/2006/relationships/image" Target="media/dbd350a68237a8b280a3b4f0bd6975ddf47792e1.png"/><Relationship Id="rId32" Type="http://schemas.openxmlformats.org/officeDocument/2006/relationships/image" Target="media/a0acc318dd33f78a3f916acdfa1e5003d451e75f.png"/><Relationship Id="rId33" Type="http://schemas.openxmlformats.org/officeDocument/2006/relationships/image" Target="media/f0afd31857cad11a967a2566695c51a322e0b6e0.png"/><Relationship Id="rId34" Type="http://schemas.openxmlformats.org/officeDocument/2006/relationships/image" Target="media/57b1245d24fd5b7d574415fd19dd8af9533f13e7.png"/><Relationship Id="rId35" Type="http://schemas.openxmlformats.org/officeDocument/2006/relationships/image" Target="media/a19705256eb5670f80b9d75e7cc9af55a5f55dd3.png"/><Relationship Id="rId36" Type="http://schemas.openxmlformats.org/officeDocument/2006/relationships/image" Target="media/d242e42addf9b9416b5028d6254e3f4c4ba9ac90.png"/><Relationship Id="rId37" Type="http://schemas.openxmlformats.org/officeDocument/2006/relationships/image" Target="media/64773b2dc8d630fd31957ac577c34d0186010331.png"/><Relationship Id="rId38" Type="http://schemas.openxmlformats.org/officeDocument/2006/relationships/image" Target="media/cca19c9e9d66e8feb844edf13096b4a19b2273c4.png"/><Relationship Id="rId39" Type="http://schemas.openxmlformats.org/officeDocument/2006/relationships/image" Target="media/7b919c144b35a2b469f5f19a5c62d09df56636c6.png"/><Relationship Id="rId40" Type="http://schemas.openxmlformats.org/officeDocument/2006/relationships/image" Target="media/3d238279f409304bf5bc779fb27dcc4210ea2879.png"/><Relationship Id="rId8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SatQuery AI — Technical Report</dc:title>
  <dc:creator>Team BUGHEBUG</dc:creator>
  <dc:description>An Agentic Vision-Language Assistant for Multimodal Remote-Sensing Image Analysis through Text Queries</dc:description>
  <cp:lastModifiedBy>Un-named</cp:lastModifiedBy>
  <cp:revision>1</cp:revision>
  <dcterms:created xsi:type="dcterms:W3CDTF">2026-09-26T08:32:13.280Z</dcterms:created>
  <dcterms:modified xsi:type="dcterms:W3CDTF">2026-09-26T08:32:13.284Z</dcterms:modified>
</cp:coreProperties>
</file>

<file path=docProps/custom.xml><?xml version="1.0" encoding="utf-8"?>
<Properties xmlns="http://schemas.openxmlformats.org/officeDocument/2006/custom-properties" xmlns:vt="http://schemas.openxmlformats.org/officeDocument/2006/docPropsVTypes"/>
</file>