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XRD 技术细节备忘录</w:t>
      </w:r>
    </w:p>
    <w:p>
      <w:pPr>
        <w:pStyle w:val="Subtitle"/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0"/>
        </w:rPr>
        <w:t>七晶系分类实验  配套导师汇报  2026年9月13日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用于汇报时查参数、说明实现和回答追问。主线是：从同一晶体结构生成两条扰动谱，用分类损失学习晶系，再用 JS 损失约束两次预测接近。</w:t>
      </w:r>
    </w:p>
    <w:p>
      <w:pPr>
        <w:pStyle w:val="Heading1"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1  常用设置速查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正式分类实验设置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输入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2θ 为 10°–80°，间隔 0.02°，共 3,501 点，单通道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输出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7 个晶系的概率，取最大概率对应的类别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模型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一维 ResNet-18，GroupNorm，约 1,301 万参数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每次训练输入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16 个母结构，每个结构生成 2 条谱，共 32 条谱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损失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两条谱的平均交叉熵；JS 组另加 60 × JS 散度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优化器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AdamW，学习率 1×10⁻⁴，weight decay 1×10⁻⁴，学习率恒定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训练时长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最多 100 epoch；每 10 epoch 验证；启用 early stopping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重复设置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5 个训练种子，两种方法逐种子配对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训练谱与评估谱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训练在线重采样；验证与测试使用预先固定的谱</w:t>
            </w:r>
          </w:p>
        </w:tc>
      </w:tr>
    </w:tbl>
    <w:p>
      <w:pPr>
        <w:spacing w:after="0" w:before="0" w:line="60" w:lineRule="exact"/>
        <w:snapToGrid w:val="0"/>
      </w:pPr>
      <w:r>
        <w:rPr>
          <w:rFonts w:ascii="Calibri" w:hAnsi="Calibri" w:eastAsia="微软雅黑"/>
          <w:color w:val="000000"/>
          <w:sz w:val="6"/>
        </w:rPr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数据从哪里来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14,060 个 Materials Project 晶体结构，先按晶系分层划分，再生成谱。训练、验证、测试分别为 9,842、2,109、2,109 个母结构，划分种子为 20260726。[1]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“母结构”指生成谱的那份晶体结构。同一母结构的所有扰动谱归属同一数据集。谱图数可以随训练增加，独立晶体结构数仍是 14,060。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类别索引固定为：0 三斜、1 单斜、2 正交、3 四方、4 三方、5 六方、6 立方。三方和六方分别作为一类，读取标签和混淆矩阵时按这个顺序。</w:t>
      </w:r>
    </w:p>
    <w:p>
      <w:pPr>
        <w:widowControl/>
        <w:spacing w:line="260" w:lineRule="exact"/>
        <w:snapToGrid w:val="0"/>
      </w:pPr>
      <w:r>
        <w:rPr>
          <w:rFonts w:ascii="Calibri" w:hAnsi="Calibri" w:eastAsia="微软雅黑"/>
          <w:color w:val="000000"/>
          <w:sz w:val="18"/>
        </w:rPr>
        <w:t>阅读位置：模型见第 2 页，JS 与选参见第 3 页，训练见第 4 页，扰动见第 5–6 页，真实谱见第 7 页，常见追问见第 8 页，出处见第 9 页。</w:t>
      </w:r>
    </w:p>
    <w:p>
      <w:pPr>
        <w:pStyle w:val="Heading1"/>
        <w:pageBreakBefore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2  Backbone 的选择与配置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Backbone 是从一维谱中提取特征的网络。项目采用 ML4pXRDs 的一维 ResNet 架构，并移植到 PyTorch。正式 ERM 和 JS 两组均使用同一套 ResNet-18-GN。[2]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选择过程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早期开发比较中，PAMPT-B3 的 level0 验证 Macro-F1 为 0.5327，ResNet-18-GN 为 0.6522；对应训练准确率为 0.6385 和 1.0000。这个结果支持改用能充分拟合训练数据的 ResNet。它属于开发阶段比较，数值不能代替正式测试结果。[3]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随后分别试过平方根预处理、改用 Adam、5 epoch 学习率预热加余弦衰减，均未达到预先规定的验证提升门槛。最终保留 identity 预处理、AdamW 和恒定学习率。GN 沿用该架构设置，现有结论不包含 GN 对 BN 的独立优劣比较。[3]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实际网络结构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706"/>
        <w:gridCol w:w="3231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输出 通道数 × 长度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单通道强度序列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 × 3501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入口卷积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kernel=7，stride=2；GN + ReLU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64 × 1751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最大池化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kernel=3，stride=2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64 × 876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残差阶段 1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 个残差块，kernel=9，阶段 stride=1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64 × 876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残差阶段 2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 个残差块，kernel=9，阶段 stride=4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128 × 219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残差阶段 3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 个残差块，kernel=9，阶段 stride=4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256 × 55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残差阶段 4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 个残差块，kernel=9，阶段 stride=4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512 × 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末端两层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Flatten 7168；Linear 7168→256；Linear 256→7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256 维特征 / 7 个 logits</w:t>
            </w:r>
          </w:p>
        </w:tc>
      </w:tr>
    </w:tbl>
    <w:p>
      <w:pPr>
        <w:spacing w:after="0" w:before="0" w:line="60" w:lineRule="exact"/>
        <w:snapToGrid w:val="0"/>
      </w:pPr>
      <w:r>
        <w:rPr>
          <w:rFonts w:ascii="Calibri" w:hAnsi="Calibri" w:eastAsia="微软雅黑"/>
          <w:color w:val="000000"/>
          <w:sz w:val="6"/>
        </w:rPr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每个残差块含两次卷积与跳连。GN 使用 32 组、eps=0.001。末端两层全连接之间没有额外激活，模型没有 dropout，也没有全局平均池化。[2]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GN 在单个样本内按通道分组归一化，不需要依赖整个 batch 的均值与方差。这里说明它如何工作，并不据此声称项目已经证明 GN 更优。[2]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输入处理和初始化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谱先完成模拟或真实谱网格对齐，再除以自身最大强度。identity 表示之后不再加平方根、对数、平滑或基线扣除。模拟预训练从随机初始化开始，不加载 ImageNet 权重。卷积、全连接层和 GN 的初始化均在模型源码中明确实现。[1–2]</w:t>
      </w:r>
    </w:p>
    <w:p>
      <w:pPr>
        <w:pStyle w:val="Heading1"/>
        <w:pageBreakBefore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3  JS 如何计算  λ 如何选择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JS 约束什么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同一母结构的两条谱输入同一个模型，得到两组七类概率 p₁、p₂。JS 即 Jensen–Shannon 散度，衡量两组概率有多不一样。它比较完整概率分布，不只比较最终类别是否相同。[4]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0"/>
        </w:rPr>
        <w:t>p₁ = softmax(f(x₁))，p₂ = softmax(f(x₂))，m = (p₁ + p₂) / 2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0"/>
        </w:rPr>
        <w:t>L分类 = [CE(f(x₁), y) + CE(f(x₂), y)] / 2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0"/>
        </w:rPr>
        <w:t>JS(p₁, p₂) = [KL(p₁ ∥ m) + KL(p₂ ∥ m)] / 2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0"/>
        </w:rPr>
        <w:t>L总 = L分类 + λ × JS(p₁, p₂)    正式 JS 组 λ = 60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CE 是交叉熵，负责把预测拉向真实晶系；JS 负责让同一母结构的两次预测接近。只用 JS 时，模型给所有谱相同预测也能让 JS 为零，所以分类损失必须保留。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实现使用自然对数，按 batch 求平均。两条分支都参与反向传播，不设教师模型，不使用伪标签、温度缩放或特征距离损失。Dynamic ERM 同样用两条谱计算 CE，仅不加 JS 项。[4]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先定候选尺度  再用验证集选值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第一步只用训练集检查梯度尺度，固定候选 λ 为 3、30、60。加权 JS 梯度相对分类梯度的中位数比分别为 0.087859、0.877058、1.754115。这里用梯度大小判断辅助项是否太弱或太强，不是比较两个 loss 的数值。[5]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第二步使用开发种子 20260710、评估种子 20260720 训练并比较候选。先要求 in-range Macro-F1 不低于 ERM 减 0.01，再选六个单项 OOD 面板平均 Macro-F1 最高者。若并列，先看 in-range，再选较小 λ。[5]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835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候选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验证 in-range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验证平均 OOD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选择结果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Dynamic ERM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0.714013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0.666471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参照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JS λ=3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0.718417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0.676134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通过范围内约束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JS λ=30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0.716428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0.676164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通过范围内约束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JS λ=60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0.729806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0.699742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通过约束，OOD 最高</w:t>
            </w:r>
          </w:p>
        </w:tc>
      </w:tr>
    </w:tbl>
    <w:p>
      <w:pPr>
        <w:spacing w:after="0" w:before="0" w:line="60" w:lineRule="exact"/>
        <w:snapToGrid w:val="0"/>
      </w:pPr>
      <w:r>
        <w:rPr>
          <w:rFonts w:ascii="Calibri" w:hAnsi="Calibri" w:eastAsia="微软雅黑"/>
          <w:color w:val="000000"/>
          <w:sz w:val="6"/>
        </w:rPr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λ=60 确定后保持不变，再开展五个种子的正式重复训练及模拟 Test、RRUFF、CNRS 评估。真实域结果没有用于重选 λ。60 是这个损失尺度和任务下的选择，不能直接当作其他模型的通用参数。</w:t>
      </w:r>
    </w:p>
    <w:p>
      <w:pPr>
        <w:widowControl/>
        <w:spacing w:line="260" w:lineRule="exact"/>
        <w:snapToGrid w:val="0"/>
      </w:pPr>
      <w:r>
        <w:rPr>
          <w:rFonts w:ascii="Calibri" w:hAnsi="Calibri" w:eastAsia="微软雅黑"/>
          <w:color w:val="000000"/>
          <w:sz w:val="18"/>
        </w:rPr>
        <w:t>实现细节：Train-only 中 λ=60 的梯度尺度由 λ=30 的同一批梯度记录逐条倍增并重算检查条件得到；后续验证阶段才单独训练三个候选。这两步承担不同用途。[5]</w:t>
      </w:r>
    </w:p>
    <w:p>
      <w:pPr>
        <w:pStyle w:val="Heading1"/>
        <w:pageBreakBefore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4  正式训练与模型保存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以下是产生汇报结果的历史正式训练设置。当前公开 runner 只提供简化训练接口，不能仅凭其默认参数重建这套实验。[6]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rPr>
          <w:tblHeader/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设置</w:t>
            </w:r>
          </w:p>
        </w:tc>
        <w:tc>
          <w:tcPr>
            <w:tcW w:type="dxa" w:w="77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实际做法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优化</w:t>
            </w:r>
          </w:p>
        </w:tc>
        <w:tc>
          <w:tcPr>
            <w:tcW w:type="dxa" w:w="77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AdamW，lr=1×10⁻⁴，weight decay=1×10⁻⁴；学习率恒定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训练预算</w:t>
            </w:r>
          </w:p>
        </w:tc>
        <w:tc>
          <w:tcPr>
            <w:tcW w:type="dxa" w:w="77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上限 100 epoch / 61,600 step；每 epoch 616 step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一个 step</w:t>
            </w:r>
          </w:p>
        </w:tc>
        <w:tc>
          <w:tcPr>
            <w:tcW w:type="dxa" w:w="77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16 个母结构，各在线生成 2 条谱，合计 32 条；一次反向更新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验证频率</w:t>
            </w:r>
          </w:p>
        </w:tc>
        <w:tc>
          <w:tcPr>
            <w:tcW w:type="dxa" w:w="77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每 6,160 step，即每 10 epoch，评估固定验证谱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早停条件</w:t>
            </w:r>
          </w:p>
        </w:tc>
        <w:tc>
          <w:tcPr>
            <w:tcW w:type="dxa" w:w="77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至少训练 50 epoch；连续 3 次验证没有足够的 OOD 改善就停止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改善阈值</w:t>
            </w:r>
          </w:p>
        </w:tc>
        <w:tc>
          <w:tcPr>
            <w:tcW w:type="dxa" w:w="77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平均单项 OOD Macro-F1 相对最近一次实质改善的参考值提高超过 0.002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保存模型</w:t>
            </w:r>
          </w:p>
        </w:tc>
        <w:tc>
          <w:tcPr>
            <w:tcW w:type="dxa" w:w="77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按 OOD 主指标选择；差值在 0.002 内时用 in-range 打破平局</w:t>
            </w:r>
          </w:p>
        </w:tc>
      </w:tr>
    </w:tbl>
    <w:p>
      <w:pPr>
        <w:spacing w:after="0" w:before="0" w:line="60" w:lineRule="exact"/>
        <w:snapToGrid w:val="0"/>
      </w:pPr>
      <w:r>
        <w:rPr>
          <w:rFonts w:ascii="Calibri" w:hAnsi="Calibri" w:eastAsia="微软雅黑"/>
          <w:color w:val="000000"/>
          <w:sz w:val="6"/>
        </w:rPr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仅靠 in-range 打破平局可更新 best，但不会清零早停计数；in-range 也相同时保留较早轮。50 epoch 是最早允许停止的时间，best 可以出现在第 50 轮之前。最终测试读取 best checkpoint。[6]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1814"/>
        <w:gridCol w:w="1984"/>
        <w:gridCol w:w="1814"/>
        <w:gridCol w:w="1928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训练种子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ERM 最佳轮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ERM 结束轮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JS 最佳轮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JS 结束轮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20260711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90 早停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70 早停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20260712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100 上限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100 上限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20260713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100 上限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100 上限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20260714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100 上限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60 早停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20260715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100 上限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90 早停</w:t>
            </w:r>
          </w:p>
        </w:tc>
      </w:tr>
    </w:tbl>
    <w:p>
      <w:pPr>
        <w:spacing w:after="0" w:before="0" w:line="60" w:lineRule="exact"/>
        <w:snapToGrid w:val="0"/>
      </w:pPr>
      <w:r>
        <w:rPr>
          <w:rFonts w:ascii="Calibri" w:hAnsi="Calibri" w:eastAsia="微软雅黑"/>
          <w:color w:val="000000"/>
          <w:sz w:val="6"/>
        </w:rPr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训练时遵循的原则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b/>
          <w:color w:val="000000"/>
          <w:sz w:val="21"/>
        </w:rPr>
        <w:t>可比性：</w:t>
      </w:r>
      <w:r>
        <w:rPr>
          <w:rFonts w:ascii="Calibri" w:hAnsi="Calibri" w:eastAsia="微软雅黑"/>
          <w:color w:val="000000"/>
          <w:sz w:val="21"/>
        </w:rPr>
        <w:t>两组使用同一模型、母结构、双谱生成规则、优化器、训练上限和早停规则，随机种子配对。实际训练步数会随早停发生变化，不能说十次运行都训练了相同步数。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b/>
          <w:color w:val="000000"/>
          <w:sz w:val="21"/>
        </w:rPr>
        <w:t>完整记录：</w:t>
      </w:r>
      <w:r>
        <w:rPr>
          <w:rFonts w:ascii="Calibri" w:hAnsi="Calibri" w:eastAsia="微软雅黑"/>
          <w:color w:val="000000"/>
          <w:sz w:val="21"/>
        </w:rPr>
        <w:t>历史固定预算采样器会循环补齐尾 batch。616×16=9,856 次母结构取样，略多于 9,842 个训练母结构，因此这里的一个 epoch 不等于每个结构恰好出现一次。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b/>
          <w:color w:val="000000"/>
          <w:sz w:val="21"/>
        </w:rPr>
        <w:t>选择隔离：</w:t>
      </w:r>
      <w:r>
        <w:rPr>
          <w:rFonts w:ascii="Calibri" w:hAnsi="Calibri" w:eastAsia="微软雅黑"/>
          <w:color w:val="000000"/>
          <w:sz w:val="21"/>
        </w:rPr>
        <w:t>训练集用于更新权重；验证集用于早停、checkpoint 和 λ 选择；测试集用于冻结后的评估。读到测试结果后不再更换权重、种子或扰动范围。</w:t>
      </w:r>
    </w:p>
    <w:p>
      <w:pPr>
        <w:widowControl/>
        <w:spacing w:line="260" w:lineRule="exact"/>
        <w:snapToGrid w:val="0"/>
      </w:pPr>
      <w:r>
        <w:rPr>
          <w:rFonts w:ascii="Calibri" w:hAnsi="Calibri" w:eastAsia="微软雅黑"/>
          <w:color w:val="000000"/>
          <w:sz w:val="18"/>
        </w:rPr>
        <w:t>运行配置：历史启动脚本使用 bfloat16 混合精度，数值异常回退 float32，启用 fused AdamW；验证 batch=256。这些是运行设置，不改变 CE+JS 的目标定义。[6]</w:t>
      </w:r>
    </w:p>
    <w:p>
      <w:pPr>
        <w:pStyle w:val="Heading1"/>
        <w:pageBreakBefore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5  五种扰动的数值范围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U(a,b) 表示区间内均匀采样，LogU(a,b) 表示在对数尺度上均匀采样。p 是每条谱启用该扰动的概率。训练与 in-range 验证使用相同分布，OOD 表示超出训练范围的测量条件。[7]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025"/>
        <w:gridCol w:w="4025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扰动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训练与 in-range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对应单项 OOD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峰位整体偏移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Δ2θ ~ U(−0.2, 0.2)°</w:t>
              <w:br/>
              <w:t>p=0.5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负向 U(−0.5, −0.2)°</w:t>
              <w:br/>
              <w:t>正向 U(0.2, 0.5)°</w:t>
              <w:br/>
              <w:t>两个面板，均 p=1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峰展宽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FWHM ~ U(0.08, 0.20)°</w:t>
              <w:br/>
              <w:t>p=1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FWHM ~ U(0.20, 0.35)°</w:t>
              <w:br/>
              <w:t>p=1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择优取向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March–Dollase r ~ U(0.8, 1.0)</w:t>
              <w:br/>
              <w:t>p=0.7；低指数反射候选轴最多 16 个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r ~ U(0.5, 0.8)</w:t>
              <w:br/>
              <w:t>p=1；其他扰动保留训练分布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平滑背景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三阶多项式</w:t>
              <w:br/>
              <w:t>背景/参考峰高比 U(0, 0.02)，p=0.5</w:t>
              <w:br/>
              <w:t>起伏 U(0.15, 0.45)，floor=0.15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高斯过程背景</w:t>
              <w:br/>
              <w:t>背景/参考峰高比 U(0.02, 0.05)，p=1</w:t>
              <w:br/>
              <w:t>起伏 U(0.35, 0.90)，floor=0.20</w:t>
              <w:br/>
              <w:t>33 个锚点，长度尺度 0.12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计数与读出噪声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Poisson–Gaussian，p=1</w:t>
              <w:br/>
              <w:t>计数尺度 C ~ LogU(2500, 40000)</w:t>
              <w:br/>
              <w:t>读出标准差 σe ~ U(0, 2) counts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Poisson–Gaussian，p=1</w:t>
              <w:br/>
              <w:t>C ~ LogU(100, 2500)</w:t>
              <w:br/>
              <w:t>σe ~ U(0, 5) counts</w:t>
            </w:r>
          </w:p>
        </w:tc>
      </w:tr>
    </w:tbl>
    <w:p>
      <w:pPr>
        <w:spacing w:after="0" w:before="0" w:line="60" w:lineRule="exact"/>
        <w:snapToGrid w:val="0"/>
      </w:pPr>
      <w:r>
        <w:rPr>
          <w:rFonts w:ascii="Calibri" w:hAnsi="Calibri" w:eastAsia="微软雅黑"/>
          <w:color w:val="000000"/>
          <w:sz w:val="6"/>
        </w:rPr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这些参数分别改变什么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峰移给所有峰加同一个角度偏移，近似仪器零点误差。展宽用统一的高斯 FWHM 改变峰宽，σ=FWHM/2.35482。它们没有改动晶格或原子坐标，也不等同于晶格应变和完整的尺寸展宽模型。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择优取向按反射方向重分配积分强度。r=1 为无取向偏好，本项目区间内 r 越小通常扰动越强；实际变化还取决于所选方向。相同参数不会把每个峰都乘上同一个数。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背景比相对 0.08° 峰宽下的参考峰高定义。谱峰展宽后，背景相对当前峰高的比例可能更高。floor 控制背景底部比例；GP 长度尺度定义在归一化坐标上，0.12 不能读成 0.12°。GP 起伏幅度随后被形状归一化消去，不宜用它解释背景更强。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噪声先把强度换成期望计数 I×C，再采 Poisson 计数并加计数域高斯读出噪声，最后截去负值并归一化。C 越小，相对计数噪声越强。这里的 2 和 5 是 counts，不是 2% 或 5%。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范围的依据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本地已完成论文、补充材料、原作者代码和当前实现的交叉核查，再据此确定训练与 OOD 区间。文献给出机制与数量级，最终配置固定本项目的工程取舍。具体核查过程和逐项依据见第 6–7 页。</w:t>
      </w:r>
    </w:p>
    <w:p>
      <w:pPr>
        <w:pStyle w:val="Heading1"/>
        <w:pageBreakBefore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6  文献核查与定范围的过程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这套范围有本地阅读和核查记录。处理顺序是：筛选可用论文，摘录原始参数，核对单位、公式和代码，再确定本项目的训练区间与压力测试区间。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先筛选能提供参数依据的论文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筛选要求包括：给出粉末 XRD 的直接数值；能说明对应的物理公式或算子；能找到论文到代码的映射。最后保留 Szymanski 2021、SimXRD-4M、XQueryer、Salgado 2023、CPICANN、Lee 2023、Schopmans 2023 七篇核心参考。</w:t>
      </w:r>
    </w:p>
    <w:p>
      <w:pPr>
        <w:widowControl/>
        <w:spacing w:line="260" w:lineRule="exact"/>
        <w:snapToGrid w:val="0"/>
      </w:pPr>
      <w:r>
        <w:rPr>
          <w:rFonts w:ascii="Calibri" w:hAnsi="Calibri" w:eastAsia="微软雅黑"/>
          <w:color w:val="000000"/>
          <w:sz w:val="19"/>
        </w:rPr>
        <w:t>Vecsei 2019 补充背景和噪声依据；Oviedo 与 XRDMatch 用于增强方法参考。4D-STEM 的像素漂移、薄膜特有变化、数组位移等，不能不经换算就拿来规定粉末谱的角度和强度范围。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逐项摘录  保留原始定义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历史原始参数表记录了来源、数值、单位、分布、归一化、公式、任务、训练或测试用途、原文位置和代码核验状态，并分别判断“机制可信度”和“数值能否迁移”。论文范围、补充材料参数和仓库默认值分开保留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例如，晶格应变先改变晶面间距，再改变峰位，不能并入全谱零点平移；晶粒尺寸要经 Scherrer 关系换成角度相关峰宽；背景面积缩放、峰高比例和噪声标准差也不能混用。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对照代码  确认参数真正改变了什么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核查不止看参数名，还追到采样函数、前向生成和归一化顺序。历史五扰动对照表记录了 SimXRD 与本项目的差异，例如 SimXRD 的 mixture_noise_ratio 在对应源码中生成正均匀噪声，不能直接当作高斯标准差。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V6 先登记工程候选，V7 再加入 March–Dollase 取向和计数噪声。2026年7月15日因缺少依据，移除了“最多同时出现两个强扰动”的拒绝规则；7月16日记录联合参数范围尚不足以冻结，保留独立采样方案。后续采用的算子和范围见第 5、8 页。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固定范围后检查参数抽样与谱形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V9 核查脚本读取已标为 formal_frozen 的配置，用 dev_3500 的 3,500 个母结构、每结构 2 个视图，检查每面板 7,000 次参数采样；谱形检查另取每类 3 个母结构，共 42 条谱/面板。这是对既定范围的审计，没有运行训练或自动搜索范围。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训练与 in-range 的 42 条检查谱均通过；ood_all 有 10 条未过前 20 强峰的保留率门槛，作为强扰动诊断保留。因此这一步检查的是范围及谱形是否可用，不能据此宣称所有强扰动都保留了足够的分类信息。</w:t>
      </w:r>
    </w:p>
    <w:p>
      <w:pPr>
        <w:widowControl/>
        <w:spacing w:line="260" w:lineRule="exact"/>
        <w:snapToGrid w:val="0"/>
      </w:pPr>
      <w:r>
        <w:rPr>
          <w:rFonts w:ascii="Calibri" w:hAnsi="Calibri" w:eastAsia="微软雅黑"/>
          <w:color w:val="000000"/>
          <w:sz w:val="19"/>
        </w:rPr>
        <w:t>正式方法比较共用冻结范围。早期文档提出过启用概率敏感性实验，但提出方案不等于完成最优搜索；现有范围应称为经文献与代码核查后采用的工程设定。启用概率 p 是训练策略参数。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本地记录入口</w:t>
      </w:r>
    </w:p>
    <w:p>
      <w:pPr>
        <w:spacing w:after="40" w:line="240" w:lineRule="exact"/>
        <w:snapToGrid w:val="0"/>
      </w:pPr>
      <w:hyperlink r:id="rId9">
        <w:r>
          <w:rPr>
            <w:rFonts w:ascii="Calibri" w:eastAsia="微软雅黑"/>
            <w:sz w:val="17"/>
            <w:color w:val="000000"/>
            <w:u w:val="single"/>
          </w:rPr>
          <w:t>七篇核心论文</w:t>
        </w:r>
      </w:hyperlink>
      <w:r>
        <w:rPr>
          <w:rFonts w:ascii="Calibri" w:hAnsi="Calibri" w:eastAsia="微软雅黑"/>
          <w:color w:val="000000"/>
          <w:sz w:val="17"/>
        </w:rPr>
        <w:t xml:space="preserve">   /   </w:t>
      </w:r>
      <w:hyperlink r:id="rId10">
        <w:r>
          <w:rPr>
            <w:rFonts w:ascii="Calibri" w:eastAsia="微软雅黑"/>
            <w:sz w:val="17"/>
            <w:color w:val="000000"/>
            <w:u w:val="single"/>
          </w:rPr>
          <w:t>候选筛查记录</w:t>
        </w:r>
      </w:hyperlink>
      <w:r>
        <w:rPr>
          <w:rFonts w:ascii="Calibri" w:hAnsi="Calibri" w:eastAsia="微软雅黑"/>
          <w:color w:val="000000"/>
          <w:sz w:val="17"/>
        </w:rPr>
        <w:t xml:space="preserve">   /   </w:t>
      </w:r>
      <w:hyperlink r:id="rId11">
        <w:r>
          <w:rPr>
            <w:rFonts w:ascii="Calibri" w:eastAsia="微软雅黑"/>
            <w:sz w:val="17"/>
            <w:color w:val="000000"/>
            <w:u w:val="single"/>
          </w:rPr>
          <w:t>逐篇精读</w:t>
        </w:r>
      </w:hyperlink>
    </w:p>
    <w:p>
      <w:pPr>
        <w:spacing w:after="40" w:line="240" w:lineRule="exact"/>
        <w:snapToGrid w:val="0"/>
      </w:pPr>
      <w:hyperlink r:id="rId12">
        <w:r>
          <w:rPr>
            <w:rFonts w:ascii="Calibri" w:eastAsia="微软雅黑"/>
            <w:sz w:val="17"/>
            <w:color w:val="000000"/>
            <w:u w:val="single"/>
          </w:rPr>
          <w:t>原始参数证据表</w:t>
        </w:r>
      </w:hyperlink>
      <w:r>
        <w:rPr>
          <w:rFonts w:ascii="Calibri" w:hAnsi="Calibri" w:eastAsia="微软雅黑"/>
          <w:color w:val="000000"/>
          <w:sz w:val="17"/>
        </w:rPr>
        <w:t xml:space="preserve">   /   </w:t>
      </w:r>
      <w:hyperlink r:id="rId13">
        <w:r>
          <w:rPr>
            <w:rFonts w:ascii="Calibri" w:eastAsia="微软雅黑"/>
            <w:sz w:val="17"/>
            <w:color w:val="000000"/>
            <w:u w:val="single"/>
          </w:rPr>
          <w:t>五扰动源码对照表</w:t>
        </w:r>
      </w:hyperlink>
    </w:p>
    <w:p>
      <w:pPr>
        <w:spacing w:after="40" w:line="240" w:lineRule="exact"/>
        <w:snapToGrid w:val="0"/>
      </w:pPr>
      <w:hyperlink r:id="rId14">
        <w:r>
          <w:rPr>
            <w:rFonts w:ascii="Calibri" w:eastAsia="微软雅黑"/>
            <w:sz w:val="17"/>
            <w:color w:val="000000"/>
            <w:u w:val="single"/>
          </w:rPr>
          <w:t>早期范围与概率方案</w:t>
        </w:r>
      </w:hyperlink>
      <w:r>
        <w:rPr>
          <w:rFonts w:ascii="Calibri" w:hAnsi="Calibri" w:eastAsia="微软雅黑"/>
          <w:color w:val="000000"/>
          <w:sz w:val="17"/>
        </w:rPr>
        <w:t xml:space="preserve">   /   </w:t>
      </w:r>
      <w:hyperlink r:id="rId15">
        <w:r>
          <w:rPr>
            <w:rFonts w:ascii="Calibri" w:eastAsia="微软雅黑"/>
            <w:sz w:val="17"/>
            <w:color w:val="000000"/>
            <w:u w:val="single"/>
          </w:rPr>
          <w:t>7月修订记录</w:t>
        </w:r>
      </w:hyperlink>
    </w:p>
    <w:p>
      <w:pPr>
        <w:spacing w:after="40" w:line="240" w:lineRule="exact"/>
        <w:snapToGrid w:val="0"/>
      </w:pPr>
      <w:hyperlink r:id="rId16">
        <w:r>
          <w:rPr>
            <w:rFonts w:ascii="Calibri" w:eastAsia="微软雅黑"/>
            <w:sz w:val="17"/>
            <w:color w:val="000000"/>
            <w:u w:val="single"/>
          </w:rPr>
          <w:t>V9 冻结审核结果</w:t>
        </w:r>
      </w:hyperlink>
      <w:r>
        <w:rPr>
          <w:rFonts w:ascii="Calibri" w:hAnsi="Calibri" w:eastAsia="微软雅黑"/>
          <w:color w:val="000000"/>
          <w:sz w:val="17"/>
        </w:rPr>
        <w:t xml:space="preserve">   /   </w:t>
      </w:r>
      <w:hyperlink r:id="rId17">
        <w:r>
          <w:rPr>
            <w:rFonts w:ascii="Calibri" w:eastAsia="微软雅黑"/>
            <w:sz w:val="17"/>
            <w:color w:val="000000"/>
            <w:u w:val="single"/>
          </w:rPr>
          <w:t>对应审核脚本</w:t>
        </w:r>
      </w:hyperlink>
    </w:p>
    <w:p>
      <w:pPr>
        <w:spacing w:after="40" w:line="240" w:lineRule="exact"/>
        <w:snapToGrid w:val="0"/>
      </w:pPr>
      <w:hyperlink r:id="rId18">
        <w:r>
          <w:rPr>
            <w:rFonts w:ascii="Calibri" w:eastAsia="微软雅黑"/>
            <w:sz w:val="17"/>
            <w:color w:val="000000"/>
            <w:u w:val="single"/>
          </w:rPr>
          <w:t>当前五类扰动的依据汇总</w:t>
        </w:r>
      </w:hyperlink>
    </w:p>
    <w:p>
      <w:pPr>
        <w:pStyle w:val="Heading1"/>
        <w:pageBreakBefore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7  五类扰动的文献数值与取舍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下列数字保留来源中的定义；“本项目采用”对应第 5 页的正式配置。论文数值用于判断数量级，训练与 OOD 的分界仍由本项目确定。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峰移  以全谱角度平移为参照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Szymanski 2021 作者仓库的整体峰移默认上限为 ±0.5°；SimXRD-4M 附录 B.4 给出全局零点偏移 ±1.2°。本项目采用较窄的 ±0.2° 训练，并用绝对偏移 0.2°–0.5° 测试。0.2° 是本项目的区间分界；Szymanski 正文中的晶格应变范围属于另一种变化。</w:t>
      </w:r>
      <w:r>
        <w:rPr>
          <w:rFonts w:ascii="Calibri" w:hAnsi="Calibri" w:eastAsia="微软雅黑"/>
          <w:color w:val="000000"/>
          <w:sz w:val="18"/>
        </w:rPr>
        <w:t xml:space="preserve">  </w:t>
      </w:r>
      <w:hyperlink r:id="rId19">
        <w:r>
          <w:rPr>
            <w:rFonts w:ascii="Calibri" w:eastAsia="微软雅黑"/>
            <w:sz w:val="17"/>
            <w:color w:val="000000"/>
            <w:u w:val="single"/>
          </w:rPr>
          <w:t>SimXRD PDF 第 21 页</w:t>
        </w:r>
      </w:hyperlink>
      <w:r>
        <w:rPr>
          <w:rFonts w:ascii="Calibri" w:hAnsi="Calibri" w:eastAsia="微软雅黑"/>
          <w:color w:val="000000"/>
          <w:sz w:val="18"/>
        </w:rPr>
        <w:t xml:space="preserve">  </w:t>
      </w:r>
      <w:hyperlink r:id="rId20">
        <w:r>
          <w:rPr>
            <w:rFonts w:ascii="Calibri" w:eastAsia="微软雅黑"/>
            <w:sz w:val="17"/>
            <w:color w:val="000000"/>
            <w:u w:val="single"/>
          </w:rPr>
          <w:t>Szymanski 仓库 README 第 78 行</w:t>
        </w:r>
      </w:hyperlink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展宽  先由公式判断角度量级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Salgado 2023 表 1 的一组 Caglioti 条件为 U=V=0、W∈[0.001,0.1]。代入 FWHM²=U tan²θ+V tanθ+W，可算得 FWHM≈0.032°–0.316°。本项目采用统一高斯峰宽：训练 0.08°–0.20°，压力测试 0.20°–0.35°。这是参考量级后的简化与扩展，不是完整复用论文峰形。</w:t>
      </w:r>
      <w:r>
        <w:rPr>
          <w:rFonts w:ascii="Calibri" w:hAnsi="Calibri" w:eastAsia="微软雅黑"/>
          <w:color w:val="000000"/>
          <w:sz w:val="18"/>
        </w:rPr>
        <w:t xml:space="preserve">  </w:t>
      </w:r>
      <w:hyperlink r:id="rId21">
        <w:r>
          <w:rPr>
            <w:rFonts w:ascii="Calibri" w:eastAsia="微软雅黑"/>
            <w:sz w:val="17"/>
            <w:color w:val="000000"/>
            <w:u w:val="single"/>
          </w:rPr>
          <w:t>Salgado PDF 第 10 页  式 8 与表 1</w:t>
        </w:r>
      </w:hyperlink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择优取向  参考方向相关的强度变化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Lee 2023 使用 modified March 模型，G1 在 0.5–0.9 随机取值，并从 16 个主要低指数峰对应方向中选优选方向。这支持用共同方向系统地改变峰强。本项目的 March–Dollase r 采用训练 0.8–1.0、OOD 0.5–0.8；模型定义与参数范围没有逐项照搬，r=1 为本实现的无取向偏好状态。</w:t>
      </w:r>
      <w:r>
        <w:rPr>
          <w:rFonts w:ascii="Calibri" w:hAnsi="Calibri" w:eastAsia="微软雅黑"/>
          <w:color w:val="000000"/>
          <w:sz w:val="18"/>
        </w:rPr>
        <w:t xml:space="preserve">  </w:t>
      </w:r>
      <w:hyperlink r:id="rId22">
        <w:r>
          <w:rPr>
            <w:rFonts w:ascii="Calibri" w:eastAsia="微软雅黑"/>
            <w:sz w:val="17"/>
            <w:color w:val="000000"/>
            <w:u w:val="single"/>
          </w:rPr>
          <w:t>Lee PDF 第 12 页  实验部分</w:t>
        </w:r>
      </w:hyperlink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背景  同时核对形状和幅度的定义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SimXRD-4M 附录使用六阶多项式背景，并给出 2% 条件；本地原作者代码另有 background_ratio=0.05 的默认值。Schopmans 的补充材料核查记录支持 GP 背景。本项目选三阶多项式、参考峰高比 0–0.02 作为训练，GP 与 0.02–0.05 作为 OOD；阶数、GP 长度尺度和区间分界都是当前实现的取舍。</w:t>
      </w:r>
      <w:r>
        <w:rPr>
          <w:rFonts w:ascii="Calibri" w:hAnsi="Calibri" w:eastAsia="微软雅黑"/>
          <w:color w:val="000000"/>
          <w:sz w:val="18"/>
        </w:rPr>
        <w:t xml:space="preserve">  </w:t>
      </w:r>
      <w:hyperlink r:id="rId19">
        <w:r>
          <w:rPr>
            <w:rFonts w:ascii="Calibri" w:eastAsia="微软雅黑"/>
            <w:sz w:val="17"/>
            <w:color w:val="000000"/>
            <w:u w:val="single"/>
          </w:rPr>
          <w:t>SimXRD PDF 第 22 页</w:t>
        </w:r>
      </w:hyperlink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噪声  从归一化强度参照转为计数模型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Szymanski 2021 的测试使用最高峰强度 1%–5% 的高斯噪声幅度；Schopmans SI 的本地核查记录给出归一化强度域加性高斯标准差 0–0.02。本项目正式实现改用 Poisson–Gaussian，计数尺度 C 为训练 2,500–40,000、OOD 100–2,500，并另加读出噪声。它们不是文献高斯标准差的直接换算。</w:t>
      </w:r>
      <w:r>
        <w:rPr>
          <w:rFonts w:ascii="Calibri" w:hAnsi="Calibri" w:eastAsia="微软雅黑"/>
          <w:color w:val="000000"/>
          <w:sz w:val="18"/>
        </w:rPr>
        <w:t xml:space="preserve">  </w:t>
      </w:r>
      <w:hyperlink r:id="rId23">
        <w:r>
          <w:rPr>
            <w:rFonts w:ascii="Calibri" w:eastAsia="微软雅黑"/>
            <w:sz w:val="17"/>
            <w:color w:val="000000"/>
            <w:u w:val="single"/>
          </w:rPr>
          <w:t>Szymanski PDF 第 5 页</w:t>
        </w:r>
      </w:hyperlink>
    </w:p>
    <w:p>
      <w:pPr>
        <w:widowControl/>
        <w:spacing w:line="260" w:lineRule="exact"/>
        <w:snapToGrid w:val="0"/>
      </w:pPr>
      <w:r>
        <w:rPr>
          <w:rFonts w:ascii="Calibri" w:hAnsi="Calibri" w:eastAsia="微软雅黑"/>
          <w:color w:val="000000"/>
          <w:sz w:val="19"/>
        </w:rPr>
        <w:t>理解计数尺度时，可在期望强度 I=1、忽略读出噪声的参考点看 1/√C：训练约 0.5%–2%，OOD 约 2%–10%。这只是单点 Poisson 相对波动的量级检查，不能替代整张归一化谱的噪声分布。</w:t>
      </w:r>
    </w:p>
    <w:p>
      <w:pPr>
        <w:widowControl/>
        <w:spacing w:line="260" w:lineRule="exact"/>
        <w:snapToGrid w:val="0"/>
      </w:pPr>
      <w:r>
        <w:rPr>
          <w:rFonts w:ascii="Calibri" w:hAnsi="Calibri" w:eastAsia="微软雅黑"/>
          <w:color w:val="000000"/>
          <w:sz w:val="18"/>
        </w:rPr>
        <w:t>查证说明：Schopmans SI 本地仅保留历史核查笔记及官方链接，未保存 SI PDF。</w:t>
      </w:r>
      <w:hyperlink r:id="rId11">
        <w:r>
          <w:rPr>
            <w:rFonts w:ascii="Calibri" w:eastAsia="微软雅黑"/>
            <w:sz w:val="17"/>
            <w:color w:val="000000"/>
            <w:u w:val="single"/>
          </w:rPr>
          <w:t> 精读记录中的 Schopmans 条目</w:t>
        </w:r>
      </w:hyperlink>
      <w:r>
        <w:rPr>
          <w:rFonts w:ascii="Calibri" w:hAnsi="Calibri" w:eastAsia="微软雅黑"/>
          <w:color w:val="000000"/>
          <w:sz w:val="18"/>
        </w:rPr>
        <w:t xml:space="preserve">  </w:t>
      </w:r>
      <w:hyperlink r:id="rId24">
        <w:r>
          <w:rPr>
            <w:rFonts w:ascii="Calibri" w:eastAsia="微软雅黑"/>
            <w:sz w:val="17"/>
            <w:color w:val="000000"/>
            <w:u w:val="single"/>
          </w:rPr>
          <w:t>SI 官方链接</w:t>
        </w:r>
      </w:hyperlink>
    </w:p>
    <w:p>
      <w:pPr>
        <w:pStyle w:val="Heading1"/>
        <w:pageBreakBefore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8  动态采样与参数版本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训练中动态改变的内容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每次取到一个母结构，读取固定的理想反射峰表，再独立采样两套测量参数并生成两条谱。母结构和晶系标签不变，变化的是峰位偏移、峰宽、取向参数、背景形状和噪声实现。[7]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b/>
          <w:color w:val="000000"/>
          <w:sz w:val="21"/>
        </w:rPr>
        <w:t>生成顺序：</w:t>
      </w:r>
      <w:r>
        <w:rPr>
          <w:rFonts w:ascii="Calibri" w:hAnsi="Calibri" w:eastAsia="微软雅黑"/>
          <w:color w:val="000000"/>
          <w:sz w:val="21"/>
        </w:rPr>
        <w:t>先按取向改变峰强，再做全谱峰移与高斯展宽，之后加背景和计数噪声，最后截去负值并作最大值归一化。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随机种子由运行种子、材料编号、epoch、step 和 view 编号等上下文确定。同一上下文可复现同一条谱，更换上下文会重新采样。训练不会一次存好所有增强谱再反复循环。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b/>
          <w:color w:val="000000"/>
          <w:sz w:val="21"/>
        </w:rPr>
        <w:t>范围固定：</w:t>
      </w:r>
      <w:r>
        <w:rPr>
          <w:rFonts w:ascii="Calibri" w:hAnsi="Calibri" w:eastAsia="微软雅黑"/>
          <w:color w:val="000000"/>
          <w:sz w:val="21"/>
        </w:rPr>
        <w:t>正式训练中，U(−0.2,0.2) 等区间和启用概率保持不变。没有随 epoch 逐步扩大范围的课程式训练，也没有用模型误差自动搜索更难扰动。动态的是区间内的取值。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b/>
          <w:color w:val="000000"/>
          <w:sz w:val="21"/>
        </w:rPr>
        <w:t>评估固定：</w:t>
      </w:r>
      <w:r>
        <w:rPr>
          <w:rFonts w:ascii="Calibri" w:hAnsi="Calibri" w:eastAsia="微软雅黑"/>
          <w:color w:val="000000"/>
          <w:sz w:val="21"/>
        </w:rPr>
        <w:t>先生成并保存验证和测试参数清单，再让各方法使用同一批固定谱。正式模拟评估种子为 20260721、20260722、20260723，与训练种子分开。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实际测试面板的组成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面板组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设置与统计用途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level0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FWHM 固定 0.08°；无峰移、背景、取向扰动和附加随机噪声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in-range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使用训练分布，具体样本和随机状态在评估时固定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六个单项 OOD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负峰移、正峰移、展宽、噪声、背景、纹理；六项等权平均构成主 OOD 指标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三个组合 OOD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正峰移+展宽；背景+噪声；纹理+负峰移；目标范围沿用第 5 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ood_all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峰移 U(−0.5,0.5)°，其余四项用更强设置；峰移取值可能落回训练范围</w:t>
            </w:r>
          </w:p>
        </w:tc>
      </w:tr>
    </w:tbl>
    <w:p>
      <w:pPr>
        <w:spacing w:after="0" w:before="0" w:line="60" w:lineRule="exact"/>
        <w:snapToGrid w:val="0"/>
      </w:pPr>
      <w:r>
        <w:rPr>
          <w:rFonts w:ascii="Calibri" w:hAnsi="Calibri" w:eastAsia="微软雅黑"/>
          <w:color w:val="000000"/>
          <w:sz w:val="6"/>
        </w:rPr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面板不是统一的“只动一项、其余都干净”：纹理 OOD 保留其他训练扰动；峰移、展宽和背景单项面板的非目标因素采用基准设置，噪声算子关闭。汇报的 +5.46 pp 对应六个单项面板的平均值，不包含组合面板或 ood_all。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旧记录与当前设置如何区分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V7 candidate 与正式 V9 的共同面板参数相同，V9 增加了三个二因素组合面板，并未逐轮调大训练范围。更早的百分比高斯噪声属于旧表示或文献参照，不能直接换算成当前 counts 参数。正式配置采用 Poisson–Gaussian 和 March–Dollase 模型。[7]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b/>
          <w:color w:val="000000"/>
          <w:sz w:val="21"/>
        </w:rPr>
        <w:t>配置开关优先于参数名字：</w:t>
      </w:r>
      <w:r>
        <w:rPr>
          <w:rFonts w:ascii="Calibri" w:hAnsi="Calibri" w:eastAsia="微软雅黑"/>
          <w:color w:val="000000"/>
          <w:sz w:val="21"/>
        </w:rPr>
        <w:t>level0 虽保留 noise_model=poisson 和 C=40000 字段，冻结参数清单明确 noise_active=false。它是一条有 0.08° 峰宽的无附加随机噪声基准谱，并非理想 δ 尖峰。现有 Methods 将它写成带 Poisson 噪声，此处按历史参数清单和执行代码更正。[7]</w:t>
      </w:r>
    </w:p>
    <w:p>
      <w:pPr>
        <w:widowControl/>
        <w:spacing w:line="260" w:lineRule="exact"/>
        <w:snapToGrid w:val="0"/>
      </w:pPr>
      <w:r>
        <w:rPr>
          <w:rFonts w:ascii="Calibri" w:hAnsi="Calibri" w:eastAsia="微软雅黑"/>
          <w:color w:val="000000"/>
          <w:sz w:val="18"/>
        </w:rPr>
        <w:t>质量阈值包括峰保留率、强度保留率、负值裁剪比例等。配置里写了阈值，不等于所有调用都执行拒绝重采样；公开 OnlineViewFactory 的质量检查可选，当前公开 runner 默认未启用。这项开关也属于复现设置。[7]</w:t>
      </w:r>
    </w:p>
    <w:p>
      <w:pPr>
        <w:pStyle w:val="Heading1"/>
        <w:pageBreakBefore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9  真实谱适配与零样本评估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RRUFF 301  使用少量真实标注更新末端层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每个晶系 43 条谱，其中 10 条进入适配池、33 条进入固定测试集，合计 70/231。每次从适配池抽取每类 K=1、2、5 条，共 7、14、35 条作为 support。5 个预训练种子配合 5 个抽样种子，每档形成 25 组配对比较。[8]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卷积和残差块冻结，更新 embedding 与 head 两个全连接层，即 7168→256 和 256→7。每次适配从对应模拟预训练权重开始，结束后恢复，避免上一组 support 的训练残留到下一组。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适配仅用 support 的交叉熵，不再加 JS。AdamW 学习率为 1×10⁻⁴，每轮把全部 support 作为一个 batch，所以 1 epoch 就是 1 step。上限 200 轮，按 support loss 早停：min_delta=0.0001，patience=20。测试集不参与停止判断。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1531"/>
        <w:gridCol w:w="2268"/>
        <w:gridCol w:w="2268"/>
        <w:gridCol w:w="2438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每类 K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总标注数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ERM 实际轮数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JS 实际轮数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BEF"/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Macro-F1 增益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86–193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93–182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+4.33 pp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144–200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157–200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+4.60 pp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均为 200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均为 200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70" w:lineRule="exact"/>
              <w:jc w:val="center"/>
              <w:snapToGrid w:val="0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+5.45 pp</w:t>
            </w:r>
          </w:p>
        </w:tc>
      </w:tr>
    </w:tbl>
    <w:p>
      <w:pPr>
        <w:spacing w:after="0" w:before="0" w:line="60" w:lineRule="exact"/>
        <w:snapToGrid w:val="0"/>
      </w:pPr>
      <w:r>
        <w:rPr>
          <w:rFonts w:ascii="Calibri" w:hAnsi="Calibri" w:eastAsia="微软雅黑"/>
          <w:color w:val="000000"/>
          <w:sz w:val="6"/>
        </w:rPr>
      </w:r>
    </w:p>
    <w:p>
      <w:pPr>
        <w:widowControl/>
        <w:spacing w:line="260" w:lineRule="exact"/>
        <w:snapToGrid w:val="0"/>
      </w:pPr>
      <w:r>
        <w:rPr>
          <w:rFonts w:ascii="Calibri" w:hAnsi="Calibri" w:eastAsia="微软雅黑"/>
          <w:color w:val="000000"/>
          <w:sz w:val="18"/>
        </w:rPr>
        <w:t>实际轮数来自 150 条历史运行记录。适配脚本没有显式冻结 weight_decay，使用当时 AdamW 默认，不能抄成模拟训练的 1×10⁻⁴。结果已回查到存储预测；完整的事前抽样计划和运行环境记录仍有限，宜称“经回查核验的固定测试集结果”。[8]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CNRS 318  冻结模型直接预测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CNRS 来自另一套实测谱来源，共 318 个独立母体，不使用其标签适配、选 λ 或挑 checkpoint。七类数量按固定类别顺序为 21/87/77/41/33/12/47，属于自然不平衡数据。[9]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按原记录波长，用 Bragg 关系换算到 1.5406 Å，再线性插值到 10°–80° 的共同网格并作最大值归一化。越出原谱覆盖范围时，当前预处理实现使用端点值延拓。波长换算不是给所有峰加同一个零点偏移。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五个种子的平均 Macro-F1 为 0.1884/0.2071，ERM/JS 配对提升 +1.87 pp，5/5 为正。分层配对母体 bootstrap 的 95% 区间为 [−0.009339, 0.046107]。区间跨零说明效应估计仍有较大抽样不确定性，应与五次配对结果一起报告。[9]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RRUFF 检查同域少样本适配，CNRS 检查独立来源的直接迁移。两者不能合成一个分数，也不能把 CNRS 的零样本改善写成已经解决真实仪器上的通用识别。</w:t>
      </w:r>
    </w:p>
    <w:p>
      <w:pPr>
        <w:pStyle w:val="Heading1"/>
        <w:pageBreakBefore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10  汇报时容易追问的问题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模型为什么不会只学到所有谱都一样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JS 鼓励同源谱的预测接近，交叉熵同时要求预测真实晶系。两个目标共同约束模型。只让预测一致并不足以得到正确分类，因此不能只看 JS loss 下降就判断训练成功。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做了扰动后  还是原来的晶体吗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在这个分类实验中，扰动作用于固定母结构的反射峰和观测谱，没有改动原子坐标、晶格或标签。它表达的是同一结构的不同测量。很强扰动仍可能遮住判别信息，所以“标签不变”并不保证每条谱都容易分类。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收益是不是来自更多训练数据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两组每个母结构都生成两条谱，并对两条谱计算 CE。两组使用相同扰动分布，JS 新增的是同源概率一致性项。训练上限和早停规则相同，实际轮数差异已在第 4 页列出。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数据是否彻底没有泄漏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当前划分保证精确母结构不跨集合，不保证化学式、结构原型或材料家族互不重叠。RRUFF 的适配池与测试集没有相同 ID 或完全相同存储谱，但有共享矿物名。因此结果不等同于未见材料家族的泛化能力。[1、8]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Macro F1  提升 5 个百分点怎么理解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先按每个晶系计算 F1，再对七类取平均。0.65 升到 0.70 是增加 5 个百分点，不是相对提高 5%。多次种子的均值与标准差、逐类支持数和 Accuracy 要同时看。CNRS 的“逐种子平均 F1”和“合并全部预测后的 pooled F1”计算顺序不同，数值不能混用。[9]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五次重复和 25 次适配是否代表同样的证据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五次模拟训练是五组不同训练种子。RRUFF 每档 25 次由 5 个预训练种子乘 5 个 support 抽样种子得到，不是 25 次独立预训练。CNRS 的 bootstrap 在晶系内重采样母体，并把同一份抽样用于两种方法和五个固定种子，没有重新抽训练种子。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置信度降低是否等于校准改善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不能仅靠最大概率降低判断。现有模拟和 CNRS 分析同时检查 ECE、NLL、Brier 与分类指标，结果总体改善，但 CNRS 的绝对准确率和校准水平仍低。RRUFF 未保存可用于同样校准计算的完整概率，不能把其他数据集的 ECE 结论移过去。[9]</w:t>
      </w:r>
    </w:p>
    <w:p>
      <w:pPr>
        <w:pStyle w:val="Heading2"/>
        <w:spacing w:line="340" w:lineRule="exact"/>
        <w:snapToGrid w:val="0"/>
      </w:pPr>
      <w:r>
        <w:rPr>
          <w:rFonts w:ascii="Calibri" w:hAnsi="Calibri" w:eastAsia="微软雅黑"/>
          <w:b/>
          <w:color w:val="000000"/>
          <w:sz w:val="23"/>
        </w:rPr>
        <w:t>PPT 第 8 页的定量反演如何接着做</w:t>
      </w:r>
    </w:p>
    <w:p>
      <w:pPr>
        <w:widowControl/>
        <w:spacing w:line="310" w:lineRule="exact"/>
        <w:snapToGrid w:val="0"/>
      </w:pPr>
      <w:r>
        <w:rPr>
          <w:rFonts w:ascii="Calibri" w:hAnsi="Calibri" w:eastAsia="微软雅黑"/>
          <w:color w:val="000000"/>
          <w:sz w:val="21"/>
        </w:rPr>
        <w:t>分类约束针对晶系概率。反演 a、c、零点偏移和 FWHM 时，需要把结构参数与测量参数分开，再用前向模型检查重建谱，并评估参数误差及参数间混淆。谱能重建得相似，也可能有多组参数解释它。当前分类增益本身不能证明反演参数已正确。</w:t>
      </w:r>
    </w:p>
    <w:p>
      <w:pPr>
        <w:pStyle w:val="Heading1"/>
        <w:pageBreakBefore/>
        <w:spacing w:line="440" w:lineRule="exact"/>
        <w:snapToGrid w:val="0"/>
      </w:pPr>
      <w:r>
        <w:rPr>
          <w:rFonts w:ascii="Calibri" w:hAnsi="Calibri" w:eastAsia="微软雅黑"/>
          <w:b/>
          <w:color w:val="000000"/>
          <w:sz w:val="32"/>
        </w:rPr>
        <w:t>11  参数与记录出处</w:t>
      </w:r>
    </w:p>
    <w:p>
      <w:pPr>
        <w:widowControl/>
        <w:spacing w:line="260" w:lineRule="exact"/>
        <w:snapToGrid w:val="0"/>
      </w:pPr>
      <w:r>
        <w:rPr>
          <w:rFonts w:ascii="Calibri" w:hAnsi="Calibri" w:eastAsia="微软雅黑"/>
          <w:color w:val="000000"/>
          <w:sz w:val="19"/>
        </w:rPr>
        <w:t>正文按当前冻结配置、源码和历史正式运行记录交叉核对。链接用于定位原始依据。历史 Git 文件固定到 f36be82b 提交，避免把当前公开接口的默认值当作历史设置。</w:t>
      </w:r>
    </w:p>
    <w:p>
      <w:pPr>
        <w:widowControl/>
        <w:spacing w:line="260" w:lineRule="exact" w:after="60"/>
        <w:snapToGrid w:val="0"/>
      </w:pPr>
      <w:r>
        <w:rPr>
          <w:rFonts w:ascii="Calibri" w:hAnsi="Calibri" w:eastAsia="微软雅黑"/>
          <w:color w:val="000000"/>
          <w:sz w:val="18"/>
        </w:rPr>
        <w:t>[1] 任务 数据和输入</w:t>
      </w:r>
    </w:p>
    <w:p>
      <w:pPr>
        <w:spacing w:after="60" w:line="252" w:lineRule="auto"/>
        <w:snapToGrid w:val="0"/>
      </w:pPr>
      <w:hyperlink r:id="rId25">
        <w:r>
          <w:rPr>
            <w:rFonts w:ascii="Calibri" w:eastAsia="微软雅黑"/>
            <w:sz w:val="17"/>
            <w:color w:val="000000"/>
            <w:u w:val="single"/>
          </w:rPr>
          <w:t>docs/METHODS.md</w:t>
        </w:r>
      </w:hyperlink>
    </w:p>
    <w:p>
      <w:pPr>
        <w:spacing w:after="60" w:line="252" w:lineRule="auto"/>
        <w:snapToGrid w:val="0"/>
      </w:pPr>
      <w:hyperlink r:id="rId26">
        <w:r>
          <w:rPr>
            <w:rFonts w:ascii="Calibri" w:eastAsia="微软雅黑"/>
            <w:sz w:val="17"/>
            <w:color w:val="000000"/>
            <w:u w:val="single"/>
          </w:rPr>
          <w:t>xrd_robustness/configs/data.method_transfer.structure_split.json</w:t>
        </w:r>
      </w:hyperlink>
    </w:p>
    <w:p>
      <w:pPr>
        <w:widowControl/>
        <w:spacing w:line="260" w:lineRule="exact" w:after="60"/>
        <w:snapToGrid w:val="0"/>
      </w:pPr>
      <w:r>
        <w:rPr>
          <w:rFonts w:ascii="Calibri" w:hAnsi="Calibri" w:eastAsia="微软雅黑"/>
          <w:color w:val="000000"/>
          <w:sz w:val="18"/>
        </w:rPr>
        <w:t>[2] 模型实现与来源</w:t>
      </w:r>
    </w:p>
    <w:p>
      <w:pPr>
        <w:spacing w:after="60" w:line="252" w:lineRule="auto"/>
        <w:snapToGrid w:val="0"/>
      </w:pPr>
      <w:hyperlink r:id="rId27">
        <w:r>
          <w:rPr>
            <w:rFonts w:ascii="Calibri" w:eastAsia="微软雅黑"/>
            <w:sz w:val="17"/>
            <w:color w:val="000000"/>
            <w:u w:val="single"/>
          </w:rPr>
          <w:t>models/ml4pxrd_resnet1d.py  配置与网络结构 第 33–50 149 197–249 行</w:t>
        </w:r>
      </w:hyperlink>
    </w:p>
    <w:p>
      <w:pPr>
        <w:spacing w:after="60" w:line="252" w:lineRule="auto"/>
        <w:snapToGrid w:val="0"/>
      </w:pPr>
      <w:hyperlink r:id="rId28">
        <w:r>
          <w:rPr>
            <w:rFonts w:ascii="Calibri" w:eastAsia="微软雅黑"/>
            <w:sz w:val="17"/>
            <w:color w:val="000000"/>
            <w:u w:val="single"/>
          </w:rPr>
          <w:t>ML4pXRDs 原始项目</w:t>
        </w:r>
      </w:hyperlink>
    </w:p>
    <w:p>
      <w:pPr>
        <w:spacing w:after="60" w:line="252" w:lineRule="auto"/>
        <w:snapToGrid w:val="0"/>
      </w:pPr>
      <w:hyperlink r:id="rId29">
        <w:r>
          <w:rPr>
            <w:rFonts w:ascii="Calibri" w:eastAsia="微软雅黑"/>
            <w:sz w:val="17"/>
            <w:color w:val="000000"/>
            <w:u w:val="single"/>
          </w:rPr>
          <w:t>Group Normalization 原论文</w:t>
        </w:r>
      </w:hyperlink>
    </w:p>
    <w:p>
      <w:pPr>
        <w:widowControl/>
        <w:spacing w:line="260" w:lineRule="exact" w:after="60"/>
        <w:snapToGrid w:val="0"/>
      </w:pPr>
      <w:r>
        <w:rPr>
          <w:rFonts w:ascii="Calibri" w:hAnsi="Calibri" w:eastAsia="微软雅黑"/>
          <w:color w:val="000000"/>
          <w:sz w:val="18"/>
        </w:rPr>
        <w:t>[3] Backbone 和训练方式的开发比较</w:t>
      </w:r>
    </w:p>
    <w:p>
      <w:pPr>
        <w:spacing w:after="60" w:line="252" w:lineRule="auto"/>
        <w:snapToGrid w:val="0"/>
      </w:pPr>
      <w:hyperlink r:id="rId15">
        <w:r>
          <w:rPr>
            <w:rFonts w:ascii="Calibri" w:eastAsia="微软雅黑"/>
            <w:sz w:val="17"/>
            <w:color w:val="000000"/>
            <w:u w:val="single"/>
          </w:rPr>
          <w:t>PROJECT_HISTORY.md  第 599–631 行</w:t>
        </w:r>
      </w:hyperlink>
    </w:p>
    <w:p>
      <w:pPr>
        <w:spacing w:after="60" w:line="252" w:lineRule="auto"/>
        <w:snapToGrid w:val="0"/>
      </w:pPr>
      <w:hyperlink r:id="rId30">
        <w:r>
          <w:rPr>
            <w:rFonts w:ascii="Calibri" w:eastAsia="微软雅黑"/>
            <w:sz w:val="17"/>
            <w:color w:val="000000"/>
            <w:u w:val="single"/>
          </w:rPr>
          <w:t>历史 clean A/B/C 对比报告</w:t>
        </w:r>
      </w:hyperlink>
    </w:p>
    <w:p>
      <w:pPr>
        <w:widowControl/>
        <w:spacing w:line="260" w:lineRule="exact" w:after="60"/>
        <w:snapToGrid w:val="0"/>
      </w:pPr>
      <w:r>
        <w:rPr>
          <w:rFonts w:ascii="Calibri" w:hAnsi="Calibri" w:eastAsia="微软雅黑"/>
          <w:color w:val="000000"/>
          <w:sz w:val="18"/>
        </w:rPr>
        <w:t>[4] JS 损失实现</w:t>
      </w:r>
    </w:p>
    <w:p>
      <w:pPr>
        <w:spacing w:after="60" w:line="252" w:lineRule="auto"/>
        <w:snapToGrid w:val="0"/>
      </w:pPr>
      <w:hyperlink r:id="rId31">
        <w:r>
          <w:rPr>
            <w:rFonts w:ascii="Calibri" w:eastAsia="微软雅黑"/>
            <w:sz w:val="17"/>
            <w:color w:val="000000"/>
            <w:u w:val="single"/>
          </w:rPr>
          <w:t>training/objectives.py  第 35–100 行</w:t>
        </w:r>
      </w:hyperlink>
    </w:p>
    <w:p>
      <w:pPr>
        <w:spacing w:after="60" w:line="252" w:lineRule="auto"/>
        <w:snapToGrid w:val="0"/>
      </w:pPr>
      <w:hyperlink r:id="rId32">
        <w:r>
          <w:rPr>
            <w:rFonts w:ascii="Calibri" w:eastAsia="微软雅黑"/>
            <w:sz w:val="17"/>
            <w:color w:val="000000"/>
            <w:u w:val="single"/>
          </w:rPr>
          <w:t>PyTorch kl_div 说明</w:t>
        </w:r>
      </w:hyperlink>
    </w:p>
    <w:p>
      <w:pPr>
        <w:widowControl/>
        <w:spacing w:line="260" w:lineRule="exact" w:after="60"/>
        <w:snapToGrid w:val="0"/>
      </w:pPr>
      <w:r>
        <w:rPr>
          <w:rFonts w:ascii="Calibri" w:hAnsi="Calibri" w:eastAsia="微软雅黑"/>
          <w:color w:val="000000"/>
          <w:sz w:val="18"/>
        </w:rPr>
        <w:t>[5] λ 候选与选择记录</w:t>
      </w:r>
    </w:p>
    <w:p>
      <w:pPr>
        <w:spacing w:after="60" w:line="252" w:lineRule="auto"/>
        <w:snapToGrid w:val="0"/>
      </w:pPr>
      <w:hyperlink r:id="rId33">
        <w:r>
          <w:rPr>
            <w:rFonts w:ascii="Calibri" w:eastAsia="微软雅黑"/>
            <w:sz w:val="17"/>
            <w:color w:val="000000"/>
            <w:u w:val="single"/>
          </w:rPr>
          <w:t>PXRD_METHOD_DETAIL_EVIDENCE_CLOSURE.md  第 405–451 行</w:t>
        </w:r>
      </w:hyperlink>
    </w:p>
    <w:p>
      <w:pPr>
        <w:spacing w:after="60" w:line="252" w:lineRule="auto"/>
        <w:snapToGrid w:val="0"/>
      </w:pPr>
      <w:hyperlink r:id="rId34">
        <w:r>
          <w:rPr>
            <w:rFonts w:ascii="Calibri" w:eastAsia="微软雅黑"/>
            <w:sz w:val="17"/>
            <w:color w:val="000000"/>
            <w:u w:val="single"/>
          </w:rPr>
          <w:t>历史 four-run 冻结协议</w:t>
        </w:r>
      </w:hyperlink>
    </w:p>
    <w:p>
      <w:pPr>
        <w:widowControl/>
        <w:spacing w:line="260" w:lineRule="exact" w:after="60"/>
        <w:snapToGrid w:val="0"/>
      </w:pPr>
      <w:r>
        <w:rPr>
          <w:rFonts w:ascii="Calibri" w:hAnsi="Calibri" w:eastAsia="微软雅黑"/>
          <w:color w:val="000000"/>
          <w:sz w:val="18"/>
        </w:rPr>
        <w:t>[6] 正式训练和早停</w:t>
      </w:r>
    </w:p>
    <w:p>
      <w:pPr>
        <w:spacing w:after="60" w:line="252" w:lineRule="auto"/>
        <w:snapToGrid w:val="0"/>
      </w:pPr>
      <w:hyperlink r:id="rId35">
        <w:r>
          <w:rPr>
            <w:rFonts w:ascii="Calibri" w:eastAsia="微软雅黑"/>
            <w:sz w:val="17"/>
            <w:color w:val="000000"/>
            <w:u w:val="single"/>
          </w:rPr>
          <w:t>历史 ten-run 协议</w:t>
        </w:r>
      </w:hyperlink>
    </w:p>
    <w:p>
      <w:pPr>
        <w:spacing w:after="60" w:line="252" w:lineRule="auto"/>
        <w:snapToGrid w:val="0"/>
      </w:pPr>
      <w:hyperlink r:id="rId36">
        <w:r>
          <w:rPr>
            <w:rFonts w:ascii="Calibri" w:eastAsia="微软雅黑"/>
            <w:sz w:val="17"/>
            <w:color w:val="000000"/>
            <w:u w:val="single"/>
          </w:rPr>
          <w:t>历史十次训练汇总  最佳轮数与停止状态</w:t>
        </w:r>
      </w:hyperlink>
    </w:p>
    <w:p>
      <w:pPr>
        <w:spacing w:after="60" w:line="252" w:lineRule="auto"/>
        <w:snapToGrid w:val="0"/>
      </w:pPr>
      <w:hyperlink r:id="rId37">
        <w:r>
          <w:rPr>
            <w:rFonts w:ascii="Calibri" w:eastAsia="微软雅黑"/>
            <w:sz w:val="17"/>
            <w:color w:val="000000"/>
            <w:u w:val="single"/>
          </w:rPr>
          <w:t>历史运行脚本  混合精度与优化器设置</w:t>
        </w:r>
      </w:hyperlink>
    </w:p>
    <w:p>
      <w:pPr>
        <w:spacing w:after="60" w:line="252" w:lineRule="auto"/>
        <w:snapToGrid w:val="0"/>
      </w:pPr>
      <w:hyperlink r:id="rId38">
        <w:r>
          <w:rPr>
            <w:rFonts w:ascii="Calibri" w:eastAsia="微软雅黑"/>
            <w:sz w:val="17"/>
            <w:color w:val="000000"/>
            <w:u w:val="single"/>
          </w:rPr>
          <w:t>docs/REPRODUCIBILITY.md  公开 runner 与历史流程的区别</w:t>
        </w:r>
      </w:hyperlink>
    </w:p>
    <w:p>
      <w:pPr>
        <w:widowControl/>
        <w:spacing w:line="260" w:lineRule="exact" w:after="60"/>
        <w:snapToGrid w:val="0"/>
      </w:pPr>
      <w:r>
        <w:rPr>
          <w:rFonts w:ascii="Calibri" w:hAnsi="Calibri" w:eastAsia="微软雅黑"/>
          <w:color w:val="000000"/>
          <w:sz w:val="18"/>
        </w:rPr>
        <w:t>[7] 扰动范围与实际启用状态</w:t>
      </w:r>
    </w:p>
    <w:p>
      <w:pPr>
        <w:spacing w:after="60" w:line="252" w:lineRule="auto"/>
        <w:snapToGrid w:val="0"/>
      </w:pPr>
      <w:hyperlink r:id="rId39">
        <w:r>
          <w:rPr>
            <w:rFonts w:ascii="Calibri" w:eastAsia="微软雅黑"/>
            <w:sz w:val="17"/>
            <w:color w:val="000000"/>
            <w:u w:val="single"/>
          </w:rPr>
          <w:t>configs/simulation.method_transfer.frozen.json</w:t>
        </w:r>
      </w:hyperlink>
    </w:p>
    <w:p>
      <w:pPr>
        <w:spacing w:after="60" w:line="252" w:lineRule="auto"/>
        <w:snapToGrid w:val="0"/>
      </w:pPr>
      <w:hyperlink r:id="rId40">
        <w:r>
          <w:rPr>
            <w:rFonts w:ascii="Calibri" w:eastAsia="微软雅黑"/>
            <w:sz w:val="17"/>
            <w:color w:val="000000"/>
            <w:u w:val="single"/>
          </w:rPr>
          <w:t>src/xrd_robustness/online_views.py</w:t>
        </w:r>
      </w:hyperlink>
    </w:p>
    <w:p>
      <w:pPr>
        <w:spacing w:after="60" w:line="252" w:lineRule="auto"/>
        <w:snapToGrid w:val="0"/>
      </w:pPr>
      <w:hyperlink r:id="rId41">
        <w:r>
          <w:rPr>
            <w:rFonts w:ascii="Calibri" w:eastAsia="微软雅黑"/>
            <w:sz w:val="17"/>
            <w:color w:val="000000"/>
            <w:u w:val="single"/>
          </w:rPr>
          <w:t>src/xrd_robustness/simulator.py  第 225–237 行噪声开关</w:t>
        </w:r>
      </w:hyperlink>
    </w:p>
    <w:p>
      <w:pPr>
        <w:spacing w:after="60" w:line="252" w:lineRule="auto"/>
        <w:snapToGrid w:val="0"/>
      </w:pPr>
      <w:hyperlink r:id="rId42">
        <w:r>
          <w:rPr>
            <w:rFonts w:ascii="Calibri" w:eastAsia="微软雅黑"/>
            <w:sz w:val="17"/>
            <w:color w:val="000000"/>
            <w:u w:val="single"/>
          </w:rPr>
          <w:t>v9_method_transfer_test_seed_20260721.csv  第 2 行 level0 参数</w:t>
        </w:r>
      </w:hyperlink>
    </w:p>
    <w:p>
      <w:pPr>
        <w:widowControl/>
        <w:spacing w:line="260" w:lineRule="exact" w:after="60"/>
        <w:snapToGrid w:val="0"/>
      </w:pPr>
      <w:r>
        <w:rPr>
          <w:rFonts w:ascii="Calibri" w:hAnsi="Calibri" w:eastAsia="微软雅黑"/>
          <w:color w:val="000000"/>
          <w:sz w:val="18"/>
        </w:rPr>
        <w:t>[8] RRUFF 适配与原始结果</w:t>
      </w:r>
    </w:p>
    <w:p>
      <w:pPr>
        <w:spacing w:after="60" w:line="252" w:lineRule="auto"/>
        <w:snapToGrid w:val="0"/>
      </w:pPr>
      <w:hyperlink r:id="rId43">
        <w:r>
          <w:rPr>
            <w:rFonts w:ascii="Calibri" w:eastAsia="微软雅黑"/>
            <w:sz w:val="17"/>
            <w:color w:val="000000"/>
            <w:u w:val="single"/>
          </w:rPr>
          <w:t>tmp/run_rruff301_confirmatory.py  第 161–221 行适配训练</w:t>
        </w:r>
      </w:hyperlink>
    </w:p>
    <w:p>
      <w:pPr>
        <w:spacing w:after="60" w:line="252" w:lineRule="auto"/>
        <w:snapToGrid w:val="0"/>
      </w:pPr>
      <w:hyperlink r:id="rId44">
        <w:r>
          <w:rPr>
            <w:rFonts w:ascii="Calibri" w:eastAsia="微软雅黑"/>
            <w:sz w:val="17"/>
            <w:color w:val="000000"/>
            <w:u w:val="single"/>
          </w:rPr>
          <w:t>rruff301_fewshot_runs.json  实际轮数和预测结果</w:t>
        </w:r>
      </w:hyperlink>
    </w:p>
    <w:p>
      <w:pPr>
        <w:spacing w:after="60" w:line="252" w:lineRule="auto"/>
        <w:snapToGrid w:val="0"/>
      </w:pPr>
      <w:hyperlink r:id="rId45">
        <w:r>
          <w:rPr>
            <w:rFonts w:ascii="Calibri" w:eastAsia="微软雅黑"/>
            <w:sz w:val="17"/>
            <w:color w:val="000000"/>
            <w:u w:val="single"/>
          </w:rPr>
          <w:t>reports/RRUFF301_COMPOSITION_AUDIT.md</w:t>
        </w:r>
      </w:hyperlink>
    </w:p>
    <w:p>
      <w:pPr>
        <w:widowControl/>
        <w:spacing w:line="260" w:lineRule="exact" w:after="60"/>
        <w:snapToGrid w:val="0"/>
      </w:pPr>
      <w:r>
        <w:rPr>
          <w:rFonts w:ascii="Calibri" w:hAnsi="Calibri" w:eastAsia="微软雅黑"/>
          <w:color w:val="000000"/>
          <w:sz w:val="18"/>
        </w:rPr>
        <w:t>[9] 模拟测试 CNRS 与概率质量</w:t>
      </w:r>
    </w:p>
    <w:p>
      <w:pPr>
        <w:spacing w:after="60" w:line="252" w:lineRule="auto"/>
        <w:snapToGrid w:val="0"/>
      </w:pPr>
      <w:hyperlink r:id="rId46">
        <w:r>
          <w:rPr>
            <w:rFonts w:ascii="Calibri" w:eastAsia="微软雅黑"/>
            <w:sz w:val="17"/>
            <w:color w:val="000000"/>
            <w:u w:val="single"/>
          </w:rPr>
          <w:t>reports/RESULTS.md</w:t>
        </w:r>
      </w:hyperlink>
    </w:p>
    <w:p>
      <w:pPr>
        <w:spacing w:after="60" w:line="252" w:lineRule="auto"/>
        <w:snapToGrid w:val="0"/>
      </w:pPr>
      <w:hyperlink r:id="rId47">
        <w:r>
          <w:rPr>
            <w:rFonts w:ascii="Calibri" w:eastAsia="微软雅黑"/>
            <w:sz w:val="17"/>
            <w:color w:val="000000"/>
            <w:u w:val="single"/>
          </w:rPr>
          <w:t>reports/CNRS_318_RESULTS.md</w:t>
        </w:r>
      </w:hyperlink>
    </w:p>
    <w:p>
      <w:pPr>
        <w:spacing w:after="60" w:line="252" w:lineRule="auto"/>
        <w:snapToGrid w:val="0"/>
      </w:pPr>
      <w:hyperlink r:id="rId48">
        <w:r>
          <w:rPr>
            <w:rFonts w:ascii="Calibri" w:eastAsia="微软雅黑"/>
            <w:sz w:val="17"/>
            <w:color w:val="000000"/>
            <w:u w:val="single"/>
          </w:rPr>
          <w:t>scripts/prepare_cnrs318_eval.py  波长转换与插值</w:t>
        </w:r>
      </w:hyperlink>
    </w:p>
    <w:sectPr w:rsidR="00FC693F" w:rsidRPr="0006063C" w:rsidSect="00034616">
      <w:footerReference w:type="default" r:id="rId4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5" w:lineRule="auto"/>
      <w:snapToGrid w:val="0"/>
    </w:pPr>
    <w:rPr>
      <w:rFonts w:ascii="Calibri" w:hAnsi="Calibri" w:eastAsia="微软雅黑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95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95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95" w:lineRule="auto"/>
      <w:contextualSpacing/>
      <w:snapToGrid w:val="0"/>
    </w:pPr>
    <w:rPr>
      <w:rFonts w:asciiTheme="majorHAnsi" w:eastAsiaTheme="majorEastAsia" w:hAnsiTheme="majorHAnsi" w:cstheme="majorBidi" w:ascii="Calibri" w:hAnsi="Calibri" w:eastAsia="微软雅黑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5" w:lineRule="auto"/>
      <w:snapToGrid w:val="0"/>
    </w:pPr>
    <w:rPr>
      <w:rFonts w:asciiTheme="majorHAnsi" w:eastAsiaTheme="majorEastAsia" w:hAnsiTheme="majorHAnsi" w:cstheme="majorBidi" w:ascii="Calibri" w:hAnsi="Calibri" w:eastAsia="微软雅黑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E:/AI4science/01_literature/xrd_perturbation_core/core_paper_chain.md" TargetMode="External"/><Relationship Id="rId10" Type="http://schemas.openxmlformats.org/officeDocument/2006/relationships/hyperlink" Target="file:///E:/AI4science/01_literature/xrd_perturbation_core/local_candidate_audit.md" TargetMode="External"/><Relationship Id="rId11" Type="http://schemas.openxmlformats.org/officeDocument/2006/relationships/hyperlink" Target="file:///E:/AI4science/01_literature/xrd_perturbation_core/paper_map/PAPER_ANALYSIS.md" TargetMode="External"/><Relationship Id="rId12" Type="http://schemas.openxmlformats.org/officeDocument/2006/relationships/hyperlink" Target="https://github.com/Frysland-2024/AI4science/blob/f36be82b2a0b5fd3c58ec87a58fa6e3ba839f217/xrd_robustness/reports/literature_parameter_raw.csv" TargetMode="External"/><Relationship Id="rId13" Type="http://schemas.openxmlformats.org/officeDocument/2006/relationships/hyperlink" Target="https://github.com/Frysland-2024/AI4science/blob/f36be82b2a0b5fd3c58ec87a58fa6e3ba839f217/xrd_robustness/reports/V8_FIVE_PERTURBATION_COMPARISON.csv" TargetMode="External"/><Relationship Id="rId14" Type="http://schemas.openxmlformats.org/officeDocument/2006/relationships/hyperlink" Target="https://github.com/Frysland-2024/AI4science/blob/f36be82b2a0b5fd3c58ec87a58fa6e3ba839f217/00_project_context/V6_PHYSICS_EVIDENCE_AND_PROBABILITY_PLAN.md" TargetMode="External"/><Relationship Id="rId15" Type="http://schemas.openxmlformats.org/officeDocument/2006/relationships/hyperlink" Target="file:///E:/AI4science/archive/paper-ready-cleanup-20260908/docs/PROJECT_HISTORY.md" TargetMode="External"/><Relationship Id="rId16" Type="http://schemas.openxmlformats.org/officeDocument/2006/relationships/hyperlink" Target="https://github.com/Frysland-2024/AI4science/blob/f36be82b2a0b5fd3c58ec87a58fa6e3ba839f217/xrd_robustness/reports/v9_method_transfer_perturbation_freeze.json" TargetMode="External"/><Relationship Id="rId17" Type="http://schemas.openxmlformats.org/officeDocument/2006/relationships/hyperlink" Target="https://github.com/Frysland-2024/AI4science/blob/f36be82b2a0b5fd3c58ec87a58fa6e3ba839f217/xrd_robustness/scripts/audit_v9_perturbation_freeze.py" TargetMode="External"/><Relationship Id="rId18" Type="http://schemas.openxmlformats.org/officeDocument/2006/relationships/hyperlink" Target="file:///E:/AI4science/archive/paper-ready-cleanup-20260908/docs/PXRD_PERTURBATION_EVIDENCE.md" TargetMode="External"/><Relationship Id="rId19" Type="http://schemas.openxmlformats.org/officeDocument/2006/relationships/hyperlink" Target="file:///E:/AI4science/01_literature/literature_zones/01_core_xrd_perturbation_phase_identification/02_SimXRD_2025_OpenReview.pdf" TargetMode="External"/><Relationship Id="rId20" Type="http://schemas.openxmlformats.org/officeDocument/2006/relationships/hyperlink" Target="file:///E:/AI4science/02_code_repositories/xrd_perturbation_core/extracted_verified/XRD-AutoAnalyzer-main/XRD-AutoAnalyzer-main/README.md" TargetMode="External"/><Relationship Id="rId21" Type="http://schemas.openxmlformats.org/officeDocument/2006/relationships/hyperlink" Target="file:///E:/AI4science/01_literature/literature_zones/01_core_xrd_perturbation_phase_identification/04_Salgado_2023_Automated_Classification_Big_XRD.pdf" TargetMode="External"/><Relationship Id="rId22" Type="http://schemas.openxmlformats.org/officeDocument/2006/relationships/hyperlink" Target="file:///E:/AI4science/01_literature/literature_zones/01_core_xrd_perturbation_phase_identification/07_Lee_2023_Advanced_XRD_Analysis.pdf" TargetMode="External"/><Relationship Id="rId23" Type="http://schemas.openxmlformats.org/officeDocument/2006/relationships/hyperlink" Target="file:///E:/AI4science/01_literature/literature_zones/01_core_xrd_perturbation_phase_identification/01_Szymanski_2021_XRD_AutoAnalyzer.pdf" TargetMode="External"/><Relationship Id="rId24" Type="http://schemas.openxmlformats.org/officeDocument/2006/relationships/hyperlink" Target="https://www.rsc.org/suppdata/d3/dd/d3dd00071k/d3dd00071k1.pdf" TargetMode="External"/><Relationship Id="rId25" Type="http://schemas.openxmlformats.org/officeDocument/2006/relationships/hyperlink" Target="file:///E:/AI4science/docs/METHODS.md" TargetMode="External"/><Relationship Id="rId26" Type="http://schemas.openxmlformats.org/officeDocument/2006/relationships/hyperlink" Target="file:///E:/AI4science/xrd_robustness/configs/data.method_transfer.structure_split.json" TargetMode="External"/><Relationship Id="rId27" Type="http://schemas.openxmlformats.org/officeDocument/2006/relationships/hyperlink" Target="file:///E:/AI4science/xrd_robustness/src/xrd_robustness/models/ml4pxrd_resnet1d.py" TargetMode="External"/><Relationship Id="rId28" Type="http://schemas.openxmlformats.org/officeDocument/2006/relationships/hyperlink" Target="https://github.com/aimat-lab/ML4pXRDs" TargetMode="External"/><Relationship Id="rId29" Type="http://schemas.openxmlformats.org/officeDocument/2006/relationships/hyperlink" Target="https://arxiv.org/abs/1803.08494" TargetMode="External"/><Relationship Id="rId30" Type="http://schemas.openxmlformats.org/officeDocument/2006/relationships/hyperlink" Target="https://github.com/Frysland-2024/AI4science/blob/f36be82b2a0b5fd3c58ec87a58fa6e3ba839f217/xrd_robustness/reports/cnn_contract_clean_abc_summary.md" TargetMode="External"/><Relationship Id="rId31" Type="http://schemas.openxmlformats.org/officeDocument/2006/relationships/hyperlink" Target="file:///E:/AI4science/xrd_robustness/src/xrd_robustness/training/objectives.py" TargetMode="External"/><Relationship Id="rId32" Type="http://schemas.openxmlformats.org/officeDocument/2006/relationships/hyperlink" Target="https://docs.pytorch.org/docs/2.14/generated/torch.nn.functional.kl_div.html" TargetMode="External"/><Relationship Id="rId33" Type="http://schemas.openxmlformats.org/officeDocument/2006/relationships/hyperlink" Target="file:///E:/AI4science/archive/paper-ready-cleanup-20260908/docs/PXRD_METHOD_DETAIL_EVIDENCE_CLOSURE.md" TargetMode="External"/><Relationship Id="rId34" Type="http://schemas.openxmlformats.org/officeDocument/2006/relationships/hyperlink" Target="https://github.com/Frysland-2024/AI4science/blob/f36be82b2a0b5fd3c58ec87a58fa6e3ba839f217/xrd_robustness/configs/v9_resnet_js_four_run.preregistered.json" TargetMode="External"/><Relationship Id="rId35" Type="http://schemas.openxmlformats.org/officeDocument/2006/relationships/hyperlink" Target="https://github.com/Frysland-2024/AI4science/blob/f36be82b2a0b5fd3c58ec87a58fa6e3ba839f217/xrd_robustness/configs/v9_resnet_js_ten_run.preregistered.json" TargetMode="External"/><Relationship Id="rId36" Type="http://schemas.openxmlformats.org/officeDocument/2006/relationships/hyperlink" Target="https://github.com/Frysland-2024/AI4science/blob/f36be82b2a0b5fd3c58ec87a58fa6e3ba839f217/xrd_robustness/reports/v9_resnet_js_ten_run_summary.json" TargetMode="External"/><Relationship Id="rId37" Type="http://schemas.openxmlformats.org/officeDocument/2006/relationships/hyperlink" Target="https://github.com/Frysland-2024/AI4science/blob/f36be82b2a0b5fd3c58ec87a58fa6e3ba839f217/xrd_robustness/scripts/run_v9_resnet_js_ten_run.sh" TargetMode="External"/><Relationship Id="rId38" Type="http://schemas.openxmlformats.org/officeDocument/2006/relationships/hyperlink" Target="file:///E:/AI4science/docs/REPRODUCIBILITY.md" TargetMode="External"/><Relationship Id="rId39" Type="http://schemas.openxmlformats.org/officeDocument/2006/relationships/hyperlink" Target="file:///E:/AI4science/xrd_robustness/configs/simulation.method_transfer.frozen.json" TargetMode="External"/><Relationship Id="rId40" Type="http://schemas.openxmlformats.org/officeDocument/2006/relationships/hyperlink" Target="file:///E:/AI4science/xrd_robustness/src/xrd_robustness/online_views.py" TargetMode="External"/><Relationship Id="rId41" Type="http://schemas.openxmlformats.org/officeDocument/2006/relationships/hyperlink" Target="file:///E:/AI4science/xrd_robustness/src/xrd_robustness/simulator.py" TargetMode="External"/><Relationship Id="rId42" Type="http://schemas.openxmlformats.org/officeDocument/2006/relationships/hyperlink" Target="file:///E:/AI4science/xrd_robustness/data/formal_14060/manifests/v9_method_transfer_test_seed_20260721.csv" TargetMode="External"/><Relationship Id="rId43" Type="http://schemas.openxmlformats.org/officeDocument/2006/relationships/hyperlink" Target="file:///E:/AI4science/tmp/run_rruff301_confirmatory.py" TargetMode="External"/><Relationship Id="rId44" Type="http://schemas.openxmlformats.org/officeDocument/2006/relationships/hyperlink" Target="file:///E:/AI4science/xrd_robustness/data/real_xrd/rruff371/results/rruff301_fewshot_runs.json" TargetMode="External"/><Relationship Id="rId45" Type="http://schemas.openxmlformats.org/officeDocument/2006/relationships/hyperlink" Target="file:///E:/AI4science/xrd_robustness/reports/RRUFF301_COMPOSITION_AUDIT.md" TargetMode="External"/><Relationship Id="rId46" Type="http://schemas.openxmlformats.org/officeDocument/2006/relationships/hyperlink" Target="file:///E:/AI4science/xrd_robustness/reports/RESULTS.md" TargetMode="External"/><Relationship Id="rId47" Type="http://schemas.openxmlformats.org/officeDocument/2006/relationships/hyperlink" Target="file:///E:/AI4science/xrd_robustness/reports/CNRS_318_RESULTS.md" TargetMode="External"/><Relationship Id="rId48" Type="http://schemas.openxmlformats.org/officeDocument/2006/relationships/hyperlink" Target="file:///E:/AI4science/xrd_robustness/scripts/prepare_cnrs318_eval.py" TargetMode="External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XRD 技术细节备忘录</dc:title>
  <dc:subject>七晶系分类的模型、JS、参数、扰动、训练与评估</dc:subject>
  <dc:creator/>
  <cp:keywords>XRD,ResNet,JS,early stopping,技术备忘录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