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p₀</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uses the box-basis method from Part 5 after rotating the spatial coordinate into the complex plane, x→x exp(iθ). For the same short-range potential, the complex-scaled Hamiltonian is</w:t>
      </w:r>
    </w:p>
    <w:p>
      <w:pPr>
        <w:spacing w:before="20" w:after="80"/>
        <w:jc w:val="center"/>
      </w:pPr>
      <w:r/>
      <w:r>
        <w:rPr>
          <w:rFonts w:ascii="Cambria Math" w:hAnsi="Cambria Math"/>
          <w:sz w:val="22"/>
        </w:rPr>
        <w:t>Hθ = exp(−2iθ)T + V[x exp(iθ)] = −(1/2) exp(−2iθ) d²/dx² + V[x exp(iθ)].</w:t>
      </w:r>
    </w:p>
    <w:p>
      <w:pPr/>
      <w:r>
        <w:t>The kinetic-energy matrix is multiplied by exp(−2iθ), while the potential matrix is evaluated at the complex coordinate. The resulting non-Hermitian matrix is diagonalized in the same sine basis:</w:t>
      </w:r>
    </w:p>
    <w:p>
      <w:pPr>
        <w:jc w:val="center"/>
      </w:pPr>
      <w:r>
        <w:rPr>
          <w:rFonts w:ascii="Cambria Math" w:hAnsi="Cambria Math"/>
          <w:sz w:val="22"/>
        </w:rPr>
        <w:t>Hθ c⁽ⁿ⁾ = Eₙ(θ)c⁽ⁿ⁾.</w:t>
      </w:r>
    </w:p>
    <w:p>
      <w:pPr/>
      <w:r>
        <w:t>The calculation uses J=2000, L=200 and N=10000 for θ=0, 0.05, 0.10, 0.15, 0.20 and 0.25. As θ increases, the discretized continuum rotates downward in the complex-energy plane by approximately 2θ, whereas resonance eigenvalues remain nearly unchanged. These stable points can therefore be selected as complex resonance energies.</w:t>
      </w:r>
    </w:p>
    <w:p>
      <w:pPr/>
      <w:r>
        <w:t>Each resonance energy is written as</w:t>
      </w:r>
    </w:p>
    <w:p>
      <w:pPr>
        <w:jc w:val="center"/>
      </w:pPr>
      <w:r>
        <w:rPr>
          <w:rFonts w:ascii="Cambria Math" w:hAnsi="Cambria Math"/>
          <w:sz w:val="22"/>
        </w:rPr>
        <w:t>Eₙ = Eres,n − iΓₙ/2,     Γₙ = −2 Im(Eₙ).</w:t>
      </w:r>
    </w:p>
    <w:p>
      <w:pPr/>
      <w:r>
        <w:t>The real part Eres,n gives the center of the transmission peak. The positive quantity Γₙ gives the full width at half maximum of an isolated Breit-Wigner peak:</w:t>
      </w:r>
    </w:p>
    <w:p>
      <w:pPr>
        <w:jc w:val="center"/>
      </w:pPr>
      <w:r>
        <w:rPr>
          <w:rFonts w:ascii="Cambria Math" w:hAnsi="Cambria Math"/>
          <w:sz w:val="22"/>
        </w:rPr>
        <w:t>|T(E)|² ≈ (Γₙ/2)² / [(E−Eres,n)² + (Γₙ/2)²].</w:t>
      </w:r>
    </w:p>
    <w:p>
      <w:pPr/>
      <w:r>
        <w:t>Thus, a pole closer to the real axis produces a narrower peak, while a pole with a larger negative imaginary part produces a broader peak. The same rotation also gives ψθ(x)=ψ[x exp(iθ)]. For a sufficiently large θ, the outward growth of a Siegert resonance state becomes decay, so the state can be treated numerically in a finite basis.</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wp:inline xmlns:a="http://schemas.openxmlformats.org/drawingml/2006/main" xmlns:pic="http://schemas.openxmlformats.org/drawingml/2006/picture">
            <wp:extent cx="5623560" cy="2932285"/>
            <wp:docPr id="27" name="Picture 27"/>
            <wp:cNvGraphicFramePr>
              <a:graphicFrameLocks noChangeAspect="1"/>
            </wp:cNvGraphicFramePr>
            <a:graphic>
              <a:graphicData uri="http://schemas.openxmlformats.org/drawingml/2006/picture">
                <pic:pic>
                  <pic:nvPicPr>
                    <pic:cNvPr id="0" name="part6_complex_eigenvalues_all.png"/>
                    <pic:cNvPicPr/>
                  </pic:nvPicPr>
                  <pic:blipFill>
                    <a:blip r:embed="rId35"/>
                    <a:stretch>
                      <a:fillRect/>
                    </a:stretch>
                  </pic:blipFill>
                  <pic:spPr>
                    <a:xfrm>
                      <a:off x="0" y="0"/>
                      <a:ext cx="5623560" cy="2932285"/>
                    </a:xfrm>
                    <a:prstGeom prst="rect"/>
                  </pic:spPr>
                </pic:pic>
              </a:graphicData>
            </a:graphic>
          </wp: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wp:inline xmlns:a="http://schemas.openxmlformats.org/drawingml/2006/main" xmlns:pic="http://schemas.openxmlformats.org/drawingml/2006/picture">
            <wp:extent cx="5623560" cy="2972453"/>
            <wp:docPr id="28" name="Picture 28"/>
            <wp:cNvGraphicFramePr>
              <a:graphicFrameLocks noChangeAspect="1"/>
            </wp:cNvGraphicFramePr>
            <a:graphic>
              <a:graphicData uri="http://schemas.openxmlformats.org/drawingml/2006/picture">
                <pic:pic>
                  <pic:nvPicPr>
                    <pic:cNvPr id="0" name="part6_complex_eigenvalues_separate.png"/>
                    <pic:cNvPicPr/>
                  </pic:nvPicPr>
                  <pic:blipFill>
                    <a:blip r:embed="rId36"/>
                    <a:stretch>
                      <a:fillRect/>
                    </a:stretch>
                  </pic:blipFill>
                  <pic:spPr>
                    <a:xfrm>
                      <a:off x="0" y="0"/>
                      <a:ext cx="5623560" cy="2972453"/>
                    </a:xfrm>
                    <a:prstGeom prst="rect"/>
                  </pic:spPr>
                </pic:pic>
              </a:graphicData>
            </a:graphic>
          </wp:inline>
        </w:drawing>
      </w:r>
    </w:p>
    <w:p>
      <w:pPr>
        <w:pStyle w:val="af7"/>
        <w:spacing w:before="20" w:after="100"/>
        <w:jc w:val="center"/>
      </w:pPr>
      <w:r>
        <w:t>Figure 20. Individual panels for θ=0, 0.05, 0.10, 0.15, 0.20 and 0.25, making the motion of the continuum easier to follow.</w:t>
      </w:r>
    </w:p>
    <w:p>
      <w:r>
        <w:t>The two lowest stable points are E₁≈0.620971−0.000058i and E₂≈1.327197−0.015447i. Their real parts lie near the Part 3 transmission maxima. Using Γ=−2 Im(E) gives Γ₁≈0.000116 and Γ₂≈0.030894. The much smaller Γ₁ explains why the first transmission peak is so sharp.</w:t>
      </w:r>
    </w:p>
    <w:p>
      <w:r>
        <w:br w:type="page"/>
      </w:r>
    </w:p>
    <w:p>
      <w:pPr>
        <w:pStyle w:val="21"/>
      </w:pPr>
      <w:r>
        <w:t>6.2 Breit-Wigner profiles</w:t>
      </w:r>
    </w:p>
    <w:p>
      <w:r>
        <w:t>The complex resonance energies obtained above are substituted into the Breit-Wigner expression and compared with the Hermitian transmission probability calculated in Part 3.</w:t>
      </w:r>
    </w:p>
    <w:p>
      <w:pPr>
        <w:spacing w:before="0" w:after="0"/>
        <w:jc w:val="center"/>
      </w:pPr>
      <w:r>
        <w:drawing>
          <wp:inline xmlns:a="http://schemas.openxmlformats.org/drawingml/2006/main" xmlns:pic="http://schemas.openxmlformats.org/drawingml/2006/picture">
            <wp:extent cx="5166360" cy="3600796"/>
            <wp:docPr id="29" name="Picture 29"/>
            <wp:cNvGraphicFramePr>
              <a:graphicFrameLocks noChangeAspect="1"/>
            </wp:cNvGraphicFramePr>
            <a:graphic>
              <a:graphicData uri="http://schemas.openxmlformats.org/drawingml/2006/picture">
                <pic:pic>
                  <pic:nvPicPr>
                    <pic:cNvPr id="0" name="part6_breit_wigner_all.png"/>
                    <pic:cNvPicPr/>
                  </pic:nvPicPr>
                  <pic:blipFill>
                    <a:blip r:embed="rId37"/>
                    <a:stretch>
                      <a:fillRect/>
                    </a:stretch>
                  </pic:blipFill>
                  <pic:spPr>
                    <a:xfrm>
                      <a:off x="0" y="0"/>
                      <a:ext cx="5166360" cy="3600796"/>
                    </a:xfrm>
                    <a:prstGeom prst="rect"/>
                  </pic:spPr>
                </pic:pic>
              </a:graphicData>
            </a:graphic>
          </wp: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wp:inline xmlns:a="http://schemas.openxmlformats.org/drawingml/2006/main" xmlns:pic="http://schemas.openxmlformats.org/drawingml/2006/picture">
            <wp:extent cx="5257800" cy="2253343"/>
            <wp:docPr id="30" name="Picture 30"/>
            <wp:cNvGraphicFramePr>
              <a:graphicFrameLocks noChangeAspect="1"/>
            </wp:cNvGraphicFramePr>
            <a:graphic>
              <a:graphicData uri="http://schemas.openxmlformats.org/drawingml/2006/picture">
                <pic:pic>
                  <pic:nvPicPr>
                    <pic:cNvPr id="0" name="part6_breit_wigner_zoom.png"/>
                    <pic:cNvPicPr/>
                  </pic:nvPicPr>
                  <pic:blipFill>
                    <a:blip r:embed="rId38"/>
                    <a:stretch>
                      <a:fillRect/>
                    </a:stretch>
                  </pic:blipFill>
                  <pic:spPr>
                    <a:xfrm>
                      <a:off x="0" y="0"/>
                      <a:ext cx="5257800" cy="2253343"/>
                    </a:xfrm>
                    <a:prstGeom prst="rect"/>
                  </pic:spPr>
                </pic:pic>
              </a:graphicData>
            </a:graphic>
          </wp:inline>
        </w:drawing>
      </w:r>
    </w:p>
    <w:p>
      <w:pPr>
        <w:pStyle w:val="af7"/>
        <w:spacing w:before="20" w:after="100"/>
        <w:jc w:val="center"/>
      </w:pPr>
      <w:r>
        <w:t>Figure 22. Detailed comparison around the first and second transmission peaks.</w:t>
      </w:r>
    </w:p>
    <w:p>
      <w:r>
        <w:t>At the first resonance, the Breit-Wigner approximation nearly coincides with the Hermitian curve and reproduces its narrow line shape. For the second resonance, the center and overall width are still close, but the single-pole curve no longer follows the full profile away from the top. The remaining difference is attributed to the non-resonant background and the influence of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wp:inline xmlns:a="http://schemas.openxmlformats.org/drawingml/2006/main" xmlns:pic="http://schemas.openxmlformats.org/drawingml/2006/picture">
            <wp:extent cx="5349240" cy="2829670"/>
            <wp:docPr id="31" name="Picture 31"/>
            <wp:cNvGraphicFramePr>
              <a:graphicFrameLocks noChangeAspect="1"/>
            </wp:cNvGraphicFramePr>
            <a:graphic>
              <a:graphicData uri="http://schemas.openxmlformats.org/drawingml/2006/picture">
                <pic:pic>
                  <pic:nvPicPr>
                    <pic:cNvPr id="0" name="part6_resonance_wavefunction_near.png"/>
                    <pic:cNvPicPr/>
                  </pic:nvPicPr>
                  <pic:blipFill>
                    <a:blip r:embed="rId39"/>
                    <a:stretch>
                      <a:fillRect/>
                    </a:stretch>
                  </pic:blipFill>
                  <pic:spPr>
                    <a:xfrm>
                      <a:off x="0" y="0"/>
                      <a:ext cx="5349240" cy="2829670"/>
                    </a:xfrm>
                    <a:prstGeom prst="rect"/>
                  </pic:spPr>
                </pic:pic>
              </a:graphicData>
            </a:graphic>
          </wp:inline>
        </w:drawing>
      </w:r>
    </w:p>
    <w:p>
      <w:pPr>
        <w:pStyle w:val="af7"/>
        <w:spacing w:before="20" w:after="100"/>
        <w:jc w:val="center"/>
      </w:pPr>
      <w:r>
        <w:t>Figure 23. The second resonance wavefunction over −200≤x≤200 before and after complex scaling with θ=0.1.</w:t>
      </w:r>
    </w:p>
    <w:p>
      <w:pPr>
        <w:spacing w:before="0" w:after="0"/>
        <w:jc w:val="center"/>
      </w:pPr>
      <w:r>
        <w:drawing>
          <wp:inline xmlns:a="http://schemas.openxmlformats.org/drawingml/2006/main" xmlns:pic="http://schemas.openxmlformats.org/drawingml/2006/picture">
            <wp:extent cx="5349240" cy="2829670"/>
            <wp:docPr id="32" name="Picture 32"/>
            <wp:cNvGraphicFramePr>
              <a:graphicFrameLocks noChangeAspect="1"/>
            </wp:cNvGraphicFramePr>
            <a:graphic>
              <a:graphicData uri="http://schemas.openxmlformats.org/drawingml/2006/picture">
                <pic:pic>
                  <pic:nvPicPr>
                    <pic:cNvPr id="0" name="part6_resonance_wavefunction_far.png"/>
                    <pic:cNvPicPr/>
                  </pic:nvPicPr>
                  <pic:blipFill>
                    <a:blip r:embed="rId40"/>
                    <a:stretch>
                      <a:fillRect/>
                    </a:stretch>
                  </pic:blipFill>
                  <pic:spPr>
                    <a:xfrm>
                      <a:off x="0" y="0"/>
                      <a:ext cx="5349240" cy="2829670"/>
                    </a:xfrm>
                    <a:prstGeom prst="rect"/>
                  </pic:spPr>
                </pic:pic>
              </a:graphicData>
            </a:graphic>
          </wp:inline>
        </w:drawing>
      </w:r>
    </w:p>
    <w:p>
      <w:pPr>
        <w:pStyle w:val="af7"/>
        <w:spacing w:before="20" w:after="100"/>
        <w:jc w:val="center"/>
      </w:pPr>
      <w:r>
        <w:t>Figure 24. The same resonance state over −500≤x≤500, showing the outward growth of the unscaled state and the decay of the complex-scaled state.</w:t>
      </w:r>
    </w:p>
    <w:p>
      <w:r>
        <w:t>The larger interval makes the different asymptotic behaviors clearer: the unscaled state continues to grow outward, whereas the complex-scaled state remains localized around the potential.</w:t>
      </w:r>
    </w:p>
    <w:p>
      <w:pPr>
        <w:pStyle w:val="21"/>
      </w:pPr>
      <w:r>
        <w:t>6.4 Comparison of resonance energies</w:t>
      </w:r>
    </w:p>
    <w:p>
      <w:pPr/>
      <w:r>
        <w:t>The Hermitian scan in Part 3 gives peak energies E₁≈0.62097030 and E₂≈1.32882395, while complex scaling gives poles 0.620971−0.000058i and 1.327197−0.015447i. Comparing the Hermitian maxima with the real parts of these poles, the first values almost coincide and the second remain close, so both methods locate the same two resonance regions. Complex scaling also gives Γ₁≈0.000116 and Γ₂≈0.030894; the small shift of the second center is consistent with its broader, less isolated line shape.</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