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300"/>
        <w:jc w:val="center"/>
        <w:rPr>
          <w:rFonts w:eastAsia="宋体" w:hint="eastAsia"/>
          <w:lang w:eastAsia="zh-CN"/>
        </w:rPr>
      </w:pPr>
      <w:r>
        <w:rPr>
          <w:rFonts w:ascii="Liberation Sans" w:hAnsi="Liberation Sans"/>
          <w:b/>
          <w:color w:val="17365D"/>
          <w:sz w:val="56"/>
        </w:rPr>
        <w:t>QUANTUM SCATTERING</w:t>
      </w:r>
      <w:r w:rsidR="001D03A1">
        <w:rPr>
          <w:rFonts w:ascii="Liberation Sans" w:eastAsia="宋体" w:hAnsi="Liberation Sans" w:hint="eastAsia"/>
          <w:b/>
          <w:color w:val="17365D"/>
          <w:sz w:val="56"/>
          <w:lang w:eastAsia="zh-CN"/>
        </w:rPr>
        <w:t xml:space="preserve"> REPORT</w:t>
      </w:r>
    </w:p>
    <w:p w14:paraId="61B36511" w14:textId="77777777" w:rsidR="008531B6" w:rsidRDefault="008531B6" w:rsidP="008531B6">
      <w:pPr>
        <w:spacing w:before="1300"/>
        <w:jc w:val="center"/>
        <w:rPr>
          <w:rFonts w:eastAsia="宋体" w:hint="eastAsia"/>
          <w:lang w:eastAsia="zh-CN"/>
        </w:rPr>
      </w:pPr>
    </w:p>
    <w:p w14:paraId="3A391CB6" w14:textId="77777777" w:rsidR="008531B6" w:rsidRPr="008531B6" w:rsidRDefault="008531B6" w:rsidP="008531B6">
      <w:pPr>
        <w:spacing w:before="1300"/>
        <w:jc w:val="center"/>
        <w:rPr>
          <w:rFonts w:eastAsia="宋体" w:hint="eastAsia"/>
          <w:sz w:val="52"/>
          <w:szCs w:val="52"/>
          <w:lang w:eastAsia="zh-CN"/>
        </w:rPr>
      </w:pPr>
      <w:proofErr w:type="spellStart"/>
      <w:r w:rsidRPr="008531B6">
        <w:rPr>
          <w:rFonts w:eastAsia="宋体" w:hint="eastAsia"/>
          <w:sz w:val="52"/>
          <w:szCs w:val="52"/>
          <w:lang w:eastAsia="zh-CN"/>
        </w:rPr>
        <w:t>Shufan</w:t>
      </w:r>
      <w:proofErr w:type="spellEnd"/>
      <w:r w:rsidRPr="008531B6">
        <w:rPr>
          <w:rFonts w:eastAsia="宋体" w:hint="eastAsia"/>
          <w:sz w:val="52"/>
          <w:szCs w:val="52"/>
          <w:lang w:eastAsia="zh-CN"/>
        </w:rPr>
        <w:t xml:space="preserve"> ZHANG</w:t>
      </w:r>
    </w:p>
    <w:p w14:paraId="3C0F3C4C" w14:textId="77777777" w:rsidR="008531B6" w:rsidRPr="008531B6" w:rsidRDefault="008531B6" w:rsidP="008531B6">
      <w:pPr>
        <w:spacing w:before="1300"/>
        <w:jc w:val="center"/>
        <w:rPr>
          <w:rFonts w:eastAsia="宋体" w:hint="eastAsia"/>
          <w:sz w:val="44"/>
          <w:szCs w:val="44"/>
          <w:lang w:eastAsia="zh-CN"/>
        </w:rPr>
      </w:pPr>
      <w:r w:rsidRPr="008531B6">
        <w:rPr>
          <w:rFonts w:eastAsia="宋体" w:hint="eastAsia"/>
          <w:sz w:val="44"/>
          <w:szCs w:val="44"/>
          <w:lang w:eastAsia="zh-CN"/>
        </w:rPr>
        <w:t>999018435</w:t>
      </w:r>
    </w:p>
    <w:p w14:paraId="2F8902B5" w14:textId="77777777" w:rsidR="008531B6" w:rsidRDefault="008531B6" w:rsidP="008531B6">
      <w:pPr>
        <w:spacing w:before="1300"/>
        <w:jc w:val="center"/>
        <w:rPr>
          <w:rFonts w:eastAsia="宋体" w:hint="eastAsia"/>
          <w:lang w:eastAsia="zh-CN"/>
        </w:rPr>
      </w:pPr>
    </w:p>
    <w:p w14:paraId="36399E17" w14:textId="77777777" w:rsidR="008531B6" w:rsidRDefault="008531B6" w:rsidP="008531B6">
      <w:pPr>
        <w:spacing w:before="1300"/>
        <w:jc w:val="center"/>
        <w:rPr>
          <w:rFonts w:eastAsia="宋体" w:hint="eastAsia"/>
          <w:lang w:eastAsia="zh-CN"/>
        </w:rPr>
      </w:pPr>
    </w:p>
    <w:p w14:paraId="5B72A501" w14:textId="77777777" w:rsidR="008531B6" w:rsidRDefault="008531B6" w:rsidP="008531B6">
      <w:pPr>
        <w:spacing w:before="1300"/>
        <w:jc w:val="center"/>
        <w:rPr>
          <w:rFonts w:eastAsia="宋体" w:hint="eastAsia"/>
          <w:lang w:eastAsia="zh-CN"/>
        </w:rPr>
      </w:pPr>
    </w:p>
    <w:p w14:paraId="58311099" w14:textId="77777777" w:rsidR="008531B6" w:rsidRDefault="008531B6">
      <w:pPr>
        <w:pStyle w:val="1"/>
        <w:rPr>
          <w:rFonts w:eastAsia="宋体"/>
          <w:lang w:eastAsia="zh-CN"/>
        </w:rPr>
      </w:pPr>
    </w:p>
    <w:p w14:paraId="6D56935F" w14:textId="77777777" w:rsidR="008531B6" w:rsidRDefault="008531B6" w:rsidP="008531B6">
      <w:pPr>
        <w:rPr>
          <w:rFonts w:eastAsia="宋体" w:hint="eastAsia"/>
          <w:lang w:eastAsia="zh-CN"/>
        </w:rPr>
      </w:pPr>
    </w:p>
    <w:p w14:paraId="2D60A2E4" w14:textId="77777777" w:rsidR="008531B6" w:rsidRPr="008531B6" w:rsidRDefault="008531B6" w:rsidP="008531B6">
      <w:pPr>
        <w:rPr>
          <w:rFonts w:eastAsia="宋体" w:hint="eastAsia"/>
          <w:lang w:eastAsia="zh-CN"/>
        </w:rPr>
      </w:pPr>
    </w:p>
    <w:p w14:paraId="6F55D693" w14:textId="77777777" w:rsidR="004E62FF" w:rsidRDefault="00291FFB">
      <w:pPr>
        <w:pStyle w:val="1"/>
      </w:pPr>
      <w:r>
        <w:t>1. Part 1 - Free Gaussian wavepacket</w:t>
      </w:r>
    </w:p>
    <w:p w14:paraId="4B15A5C3" w14:textId="77777777" w:rsidR="004E62FF" w:rsidRDefault="00000000">
      <w:r>
        <w:t>The numerical calculations use the lecture convention m=1 and ħ=1. The initial Gaussian wavepacket is</w:t>
      </w:r>
    </w:p>
    <w:p w14:paraId="1884F419" w14:textId="77777777" w:rsidR="004E62FF" w:rsidRDefault="00000000">
      <w:pPr>
        <w:jc w:val="center"/>
      </w:pPr>
      <w:r>
        <w:rPr>
          <w:rFonts w:ascii="Cambria Math" w:hAnsi="Cambria Math"/>
          <w:b/>
          <w:sz w:val="23"/>
        </w:rPr>
        <w:t>ψ(0,x) = (2α/π)¹⁄⁴ exp[-α(x-x₀)²] exp[ip₀(x-x₀)]</w:t>
      </w:r>
    </w:p>
    <w:p w14:paraId="3F9516C8" w14:textId="77777777" w:rsidR="004E62FF" w:rsidRDefault="00000000">
      <w:r>
        <w:t>To propagate the wavepacket, the initial state is first transformed into momentum space,</w:t>
      </w:r>
    </w:p>
    <w:p w14:paraId="5597DD3B" w14:textId="77777777" w:rsidR="004E62FF" w:rsidRDefault="00000000">
      <w:pPr>
        <w:jc w:val="center"/>
      </w:pPr>
      <w:r>
        <w:rPr>
          <w:rFonts w:ascii="Cambria Math" w:hAnsi="Cambria Math"/>
          <w:b/>
          <w:sz w:val="23"/>
        </w:rPr>
        <w:t>ϕ(p) = 1/√(2π) ∫ dx ψ(0,x) exp(-ipx)</w:t>
      </w:r>
    </w:p>
    <w:p w14:paraId="3E0F13D3" w14:textId="77777777" w:rsidR="004E62FF" w:rsidRDefault="00000000">
      <w:pPr>
        <w:rPr>
          <w:rFonts w:eastAsia="宋体" w:hint="eastAsia"/>
          <w:lang w:eastAsia="zh-CN"/>
        </w:rPr>
      </w:pPr>
      <w:r>
        <w:t>Each momentum component then evolves with the free-particle phase exp(-ip²t/2), and the wavepacket at time t is</w:t>
      </w:r>
    </w:p>
    <w:p>
      <w:pPr>
        <w:jc w:val="center"/>
      </w:pPr>
      <w:r>
        <w:rPr>
          <w:rFonts w:ascii="Cambria Math" w:hAnsi="Cambria Math"/>
          <w:b/>
          <w:sz w:val="22"/>
        </w:rPr>
        <w:t>ψ(t,x) = 1/√(2π) ∫ dp ϕ(p) exp(ipx) exp(-ip²t/2)</w:t>
      </w:r>
    </w:p>
    <w:p w14:paraId="63785500" w14:textId="77777777" w:rsidR="00291FFB" w:rsidRPr="00291FFB" w:rsidRDefault="00291FFB">
      <w:pPr>
        <w:rPr>
          <w:rFonts w:eastAsia="宋体" w:hint="eastAsia"/>
          <w:color w:val="244061" w:themeColor="accent1" w:themeShade="80"/>
          <w:sz w:val="36"/>
          <w:szCs w:val="36"/>
          <w:lang w:eastAsia="zh-CN"/>
        </w:rPr>
      </w:pPr>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p0</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wp:inline xmlns:a="http://schemas.openxmlformats.org/drawingml/2006/main" xmlns:pic="http://schemas.openxmlformats.org/drawingml/2006/picture">
            <wp:extent cx="5852160" cy="2926080"/>
            <wp:docPr id="26" name="Picture 2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926080"/>
                    </a:xfrm>
                    <a:prstGeom prst="rect"/>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proofErr w:type="spellStart"/>
      <w:r>
        <w:rPr>
          <w:b/>
          <w:sz w:val="23"/>
        </w:rPr>
        <w:t>δ_L</w:t>
      </w:r>
      <w:proofErr w:type="spellEnd"/>
      <w:r>
        <w:rPr>
          <w:b/>
          <w:sz w:val="23"/>
        </w:rPr>
        <w:t>(p) = sin(</w:t>
      </w:r>
      <w:proofErr w:type="spellStart"/>
      <w:r>
        <w:rPr>
          <w:b/>
          <w:sz w:val="23"/>
        </w:rPr>
        <w:t>pL</w:t>
      </w:r>
      <w:proofErr w:type="spellEnd"/>
      <w:r>
        <w:rPr>
          <w:b/>
          <w:sz w:val="23"/>
        </w:rPr>
        <w:t>)/(πp</w:t>
      </w:r>
      <w:proofErr w:type="gramStart"/>
      <w:r>
        <w:rPr>
          <w:b/>
          <w:sz w:val="23"/>
        </w:rPr>
        <w:t xml:space="preserve">),   </w:t>
      </w:r>
      <w:proofErr w:type="gramEnd"/>
      <w:r>
        <w:rPr>
          <w:b/>
          <w:sz w:val="23"/>
        </w:rPr>
        <w:t xml:space="preserve">  </w:t>
      </w:r>
      <w:proofErr w:type="spellStart"/>
      <w:r>
        <w:rPr>
          <w:b/>
          <w:sz w:val="23"/>
        </w:rPr>
        <w:t>δ_</w:t>
      </w:r>
      <w:proofErr w:type="gramStart"/>
      <w:r>
        <w:rPr>
          <w:b/>
          <w:sz w:val="23"/>
        </w:rPr>
        <w:t>L</w:t>
      </w:r>
      <w:proofErr w:type="spellEnd"/>
      <w:r>
        <w:rPr>
          <w:b/>
          <w:sz w:val="23"/>
        </w:rPr>
        <w:t>(0)=</w:t>
      </w:r>
      <w:proofErr w:type="gramEnd"/>
      <w:r>
        <w:rPr>
          <w:b/>
          <w:sz w:val="23"/>
        </w:rPr>
        <w:t>L/π.</w:t>
      </w:r>
    </w:p>
    <w:p w14:paraId="0893FC99" w14:textId="77777777" w:rsidR="004E62FF" w:rsidRPr="000E04A8" w:rsidRDefault="00A34312">
      <w:pPr>
        <w:rPr>
          <w:rFonts w:eastAsia="宋体" w:hint="eastAsia"/>
          <w:lang w:eastAsia="zh-CN"/>
        </w:rPr>
      </w:pPr>
      <w:r w:rsidRPr="00A34312">
        <w:t>As L increases, the central peak becomes taller and narrower. Although δ_L(p) does not converge pointwise, it approaches the Dirac delta distribution in the sense that</w:t>
      </w:r>
      <w:r w:rsidR="000E04A8" w:rsidRPr="000E04A8">
        <w:t xml:space="preserve"> ∫φ(p)</w:t>
      </w:r>
      <w:proofErr w:type="spellStart"/>
      <w:r w:rsidR="000E04A8" w:rsidRPr="000E04A8">
        <w:t>δ_L</w:t>
      </w:r>
      <w:proofErr w:type="spellEnd"/>
      <w:r w:rsidR="000E04A8" w:rsidRPr="000E04A8">
        <w:t xml:space="preserve">(p) </w:t>
      </w:r>
      <w:proofErr w:type="spellStart"/>
      <w:r w:rsidR="000E04A8" w:rsidRPr="000E04A8">
        <w:t>dp→</w:t>
      </w:r>
      <w:proofErr w:type="gramStart"/>
      <w:r w:rsidR="000E04A8" w:rsidRPr="000E04A8">
        <w:t>φ</w:t>
      </w:r>
      <w:proofErr w:type="spellEnd"/>
      <w:r w:rsidR="000E04A8" w:rsidRPr="000E04A8">
        <w:t>(</w:t>
      </w:r>
      <w:proofErr w:type="gramEnd"/>
      <w:r w:rsidR="000E04A8" w:rsidRPr="000E04A8">
        <w:t>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rPr>
                <w:b/>
                <w:sz w:val="17"/>
              </w:rPr>
              <w:t>∫φ(p)</w:t>
            </w:r>
            <w:proofErr w:type="spellStart"/>
            <w:r>
              <w:rPr>
                <w:b/>
                <w:sz w:val="17"/>
              </w:rPr>
              <w:t>δ_L</w:t>
            </w:r>
            <w:proofErr w:type="spellEnd"/>
            <w:r>
              <w:rPr>
                <w:b/>
                <w:sz w:val="17"/>
              </w:rPr>
              <w:t xml:space="preserve">(p) </w:t>
            </w:r>
            <w:proofErr w:type="spellStart"/>
            <w:r>
              <w:rPr>
                <w:b/>
                <w:sz w:val="17"/>
              </w:rPr>
              <w:t>dp</w:t>
            </w:r>
            <w:proofErr w:type="spellEnd"/>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jc w:val="center"/>
      </w:pPr>
      <w:r>
        <w:rPr>
          <w:rFonts w:ascii="Cambria Math" w:hAnsi="Cambria Math"/>
          <w:b/>
          <w:sz w:val="22"/>
        </w:rPr>
        <w:t>V(x) = (0.5x² - 0.8) exp(-0.1x²).</w:t>
      </w:r>
    </w:p>
    <w:p>
      <w:pPr/>
      <w:r>
        <w:t>This is a symmetric central well surrounded by two barriers.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rPr>
          <w:rFonts w:ascii="Cambria" w:eastAsia="Cambria" w:hAnsi="Cambria"/>
        </w:rPr>
        <w:t>For each E&gt;0, let k=√(2E) under m=ħ=1. The physical stationary state for a particle incident from the left has the asymptotic form</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pPr/>
      <w:r>
        <w:t>On an equally spaced spatial grid, the finite-difference Schrödinger equation can be written as</w:t>
      </w:r>
    </w:p>
    <w:p>
      <w:pPr>
        <w:jc w:val="center"/>
      </w:pPr>
      <w:r>
        <w:rPr>
          <w:rFonts w:ascii="Cambria Math" w:hAnsi="Cambria Math"/>
          <w:b/>
          <w:sz w:val="22"/>
        </w:rPr>
        <w:t>ψ̄E(xₙ₋₁) = [2 + 2(Δx)²(V(xₙ)-E)] ψ̄E(xₙ) - ψ̄E(xₙ₊₁).</w:t>
      </w:r>
    </w:p>
    <w:p>
      <w:pPr/>
      <w:r>
        <w:t>Starting from two grid points in the right free region, this relation propagates the modified state step by step toward the left. In the left free region, A(E) and B(E) are obtained from the numerical wavefunction.</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Pr>
          <w:rFonts w:ascii="Cambria Math" w:hAnsi="Cambria Math"/>
          <w:b/>
          <w:sz w:val="22"/>
        </w:rPr>
        <w:t>Ψ(t,x) = ∫ dp ϕ(p) ψₚ(x) exp[-iE(p)t],    E(p)=p²/2.</w:t>
      </w:r>
    </w:p>
    <w:p>
      <w:pPr>
        <w:jc w:val="both"/>
      </w:pPr>
      <w:r>
        <w:t>Here ϕ(p) is the momentum-space coefficient of the incident Gaussian,</w:t>
      </w:r>
    </w:p>
    <w:p>
      <w:pPr>
        <w:jc w:val="center"/>
      </w:pPr>
      <w:r>
        <w:rPr>
          <w:rFonts w:ascii="Cambria Math" w:hAnsi="Cambria Math"/>
          <w:b/>
          <w:sz w:val="22"/>
        </w:rPr>
        <w:t>ϕ(p) = 1/√(2π) ∫ dx Ψ(0,x) exp(-ipx).</w:t>
      </w:r>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r>
        <w:t xml:space="preserve"> For the Gaussian convention used in Part 1, Δp=√α under ħ=1.</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Under m=ℏ=1, the Hamiltonian matrix is</w:t>
      </w:r>
    </w:p>
    <w:p>
      <w:pPr>
        <w:keepLines/>
        <w:spacing w:before="40" w:after="60"/>
        <w:jc w:val="center"/>
      </w:pPr>
      <w:r>
        <w:rPr>
          <w:rFonts w:ascii="Liberation Serif" w:hAnsi="Liberation Serif"/>
          <w:b/>
          <w:sz w:val="23"/>
        </w:rPr>
        <w:t>H</w:t>
      </w:r>
      <w:r>
        <w:rPr>
          <w:rFonts w:ascii="Liberation Serif" w:hAnsi="Liberation Serif"/>
          <w:b/>
          <w:sz w:val="23"/>
          <w:vertAlign w:val="subscript"/>
        </w:rPr>
        <w:t>ij</w:t>
      </w:r>
      <w:r>
        <w:rPr>
          <w:rFonts w:ascii="Liberation Serif" w:hAnsi="Liberation Serif"/>
          <w:b/>
          <w:sz w:val="23"/>
        </w:rPr>
        <w:t xml:space="preserve"> = j</w:t>
      </w:r>
      <w:r>
        <w:rPr>
          <w:rFonts w:ascii="Liberation Serif" w:hAnsi="Liberation Serif"/>
          <w:b/>
          <w:sz w:val="23"/>
          <w:vertAlign w:val="superscript"/>
        </w:rPr>
        <w:t>2</w:t>
      </w:r>
      <w:r>
        <w:rPr>
          <w:rFonts w:ascii="Liberation Serif" w:hAnsi="Liberation Serif"/>
          <w:b/>
          <w:sz w:val="23"/>
        </w:rPr>
        <w:t>π</w:t>
      </w:r>
      <w:r>
        <w:rPr>
          <w:rFonts w:ascii="Liberation Serif" w:hAnsi="Liberation Serif"/>
          <w:b/>
          <w:sz w:val="23"/>
          <w:vertAlign w:val="superscript"/>
        </w:rPr>
        <w:t>2</w:t>
      </w:r>
      <w:r>
        <w:rPr>
          <w:rFonts w:ascii="Liberation Serif" w:hAnsi="Liberation Serif"/>
          <w:b/>
          <w:sz w:val="23"/>
        </w:rPr>
        <w:t>/(2L</w:t>
      </w:r>
      <w:r>
        <w:rPr>
          <w:rFonts w:ascii="Liberation Serif" w:hAnsi="Liberation Serif"/>
          <w:b/>
          <w:sz w:val="23"/>
          <w:vertAlign w:val="superscript"/>
        </w:rPr>
        <w:t>2</w:t>
      </w:r>
      <w:r>
        <w:rPr>
          <w:rFonts w:ascii="Liberation Serif" w:hAnsi="Liberation Serif"/>
          <w:b/>
          <w:sz w:val="23"/>
        </w:rPr>
        <w:t>) δ</w:t>
      </w:r>
      <w:r>
        <w:rPr>
          <w:rFonts w:ascii="Liberation Serif" w:hAnsi="Liberation Serif"/>
          <w:b/>
          <w:sz w:val="23"/>
          <w:vertAlign w:val="subscript"/>
        </w:rPr>
        <w:t>ij</w:t>
      </w:r>
      <w:r>
        <w:rPr>
          <w:rFonts w:ascii="Liberation Serif" w:hAnsi="Liberation Serif"/>
          <w:b/>
          <w:sz w:val="23"/>
        </w:rPr>
        <w:t xml:space="preserve"> + ∫</w:t>
      </w:r>
      <w:r>
        <w:rPr>
          <w:rFonts w:ascii="Liberation Serif" w:hAnsi="Liberation Serif"/>
          <w:b/>
          <w:sz w:val="23"/>
          <w:vertAlign w:val="subscript"/>
        </w:rPr>
        <w:t>-L/2</w:t>
      </w:r>
      <w:r>
        <w:rPr>
          <w:rFonts w:ascii="Liberation Serif" w:hAnsi="Liberation Serif"/>
          <w:b/>
          <w:sz w:val="23"/>
          <w:vertAlign w:val="superscript"/>
        </w:rPr>
        <w:t>L/2</w:t>
      </w:r>
      <w:r>
        <w:rPr>
          <w:rFonts w:ascii="Liberation Serif" w:hAnsi="Liberation Serif"/>
          <w:b/>
          <w:sz w:val="23"/>
        </w:rPr>
        <w:t xml:space="preserve"> φ</w:t>
      </w:r>
      <w:r>
        <w:rPr>
          <w:rFonts w:ascii="Liberation Serif" w:hAnsi="Liberation Serif"/>
          <w:b/>
          <w:sz w:val="23"/>
          <w:vertAlign w:val="subscript"/>
        </w:rPr>
        <w:t>i</w:t>
      </w:r>
      <w:r>
        <w:rPr>
          <w:rFonts w:ascii="Liberation Serif" w:hAnsi="Liberation Serif"/>
          <w:b/>
          <w:sz w:val="23"/>
        </w:rPr>
        <w:t>(x)V(x)φ</w:t>
      </w:r>
      <w:r>
        <w:rPr>
          <w:rFonts w:ascii="Liberation Serif" w:hAnsi="Liberation Serif"/>
          <w:b/>
          <w:sz w:val="23"/>
          <w:vertAlign w:val="subscript"/>
        </w:rPr>
        <w:t>j</w:t>
      </w:r>
      <w:r>
        <w:rPr>
          <w:rFonts w:ascii="Liberation Serif" w:hAnsi="Liberation Serif"/>
          <w:b/>
          <w:sz w:val="23"/>
        </w:rPr>
        <w:t>(x) dx.</w:t>
      </w:r>
    </w:p>
    <w:p>
      <w:pPr>
        <w:widowControl/>
      </w:pPr>
      <w:r>
        <w:t>Numerical diagonalization of H gives the energies E_n and the expansion coefficients. The finite box changes the positive-energy continuum into a set of discrete eigenvalues.</w:t>
      </w:r>
    </w:p>
    <w:p>
      <w:pPr>
        <w:widowControl/>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wp:inline xmlns:a="http://schemas.openxmlformats.org/drawingml/2006/main" xmlns:pic="http://schemas.openxmlformats.org/drawingml/2006/picture">
            <wp:extent cx="5257800" cy="3813439"/>
            <wp:docPr id="21" name="Picture 21"/>
            <wp:cNvGraphicFramePr>
              <a:graphicFrameLocks noChangeAspect="1"/>
            </wp:cNvGraphicFramePr>
            <a:graphic>
              <a:graphicData uri="http://schemas.openxmlformats.org/drawingml/2006/picture">
                <pic:pic>
                  <pic:nvPicPr>
                    <pic:cNvPr id="0" name="part5_harmonic_validation.png"/>
                    <pic:cNvPicPr/>
                  </pic:nvPicPr>
                  <pic:blipFill>
                    <a:blip r:embed="rId30"/>
                    <a:stretch>
                      <a:fillRect/>
                    </a:stretch>
                  </pic:blipFill>
                  <pic:spPr>
                    <a:xfrm>
                      <a:off x="0" y="0"/>
                      <a:ext cx="5257800" cy="3813439"/>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685765"/>
            <wp:docPr id="22" name="Picture 22"/>
            <wp:cNvGraphicFramePr>
              <a:graphicFrameLocks noChangeAspect="1"/>
            </wp:cNvGraphicFramePr>
            <a:graphic>
              <a:graphicData uri="http://schemas.openxmlformats.org/drawingml/2006/picture">
                <pic:pic>
                  <pic:nvPicPr>
                    <pic:cNvPr id="0" name="part5_short_range_first11_combined.png"/>
                    <pic:cNvPicPr/>
                  </pic:nvPicPr>
                  <pic:blipFill>
                    <a:blip r:embed="rId31"/>
                    <a:stretch>
                      <a:fillRect/>
                    </a:stretch>
                  </pic:blipFill>
                  <pic:spPr>
                    <a:xfrm>
                      <a:off x="0" y="0"/>
                      <a:ext cx="5623560" cy="3685765"/>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5697947"/>
            <wp:docPr id="23" name="Picture 23"/>
            <wp:cNvGraphicFramePr>
              <a:graphicFrameLocks noChangeAspect="1"/>
            </wp:cNvGraphicFramePr>
            <a:graphic>
              <a:graphicData uri="http://schemas.openxmlformats.org/drawingml/2006/picture">
                <pic:pic>
                  <pic:nvPicPr>
                    <pic:cNvPr id="0" name="part5_short_range_first11_panels.png"/>
                    <pic:cNvPicPr/>
                  </pic:nvPicPr>
                  <pic:blipFill>
                    <a:blip r:embed="rId32"/>
                    <a:stretch>
                      <a:fillRect/>
                    </a:stretch>
                  </pic:blipFill>
                  <pic:spPr>
                    <a:xfrm>
                      <a:off x="0" y="0"/>
                      <a:ext cx="5303520" cy="5697947"/>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135279"/>
            <wp:docPr id="24" name="Picture 24"/>
            <wp:cNvGraphicFramePr>
              <a:graphicFrameLocks noChangeAspect="1"/>
            </wp:cNvGraphicFramePr>
            <a:graphic>
              <a:graphicData uri="http://schemas.openxmlformats.org/drawingml/2006/picture">
                <pic:pic>
                  <pic:nvPicPr>
                    <pic:cNvPr id="0" name="part5_box_spectrum_all_states.png"/>
                    <pic:cNvPicPr/>
                  </pic:nvPicPr>
                  <pic:blipFill>
                    <a:blip r:embed="rId33"/>
                    <a:stretch>
                      <a:fillRect/>
                    </a:stretch>
                  </pic:blipFill>
                  <pic:spPr>
                    <a:xfrm>
                      <a:off x="0" y="0"/>
                      <a:ext cx="5532120" cy="413527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5486400" cy="3392650"/>
            <wp:docPr id="25" name="Picture 25"/>
            <wp:cNvGraphicFramePr>
              <a:graphicFrameLocks noChangeAspect="1"/>
            </wp:cNvGraphicFramePr>
            <a:graphic>
              <a:graphicData uri="http://schemas.openxmlformats.org/drawingml/2006/picture">
                <pic:pic>
                  <pic:nvPicPr>
                    <pic:cNvPr id="0" name="part5_localized_states.png"/>
                    <pic:cNvPicPr/>
                  </pic:nvPicPr>
                  <pic:blipFill>
                    <a:blip r:embed="rId34"/>
                    <a:stretch>
                      <a:fillRect/>
                    </a:stretch>
                  </pic:blipFill>
                  <pic:spPr>
                    <a:xfrm>
                      <a:off x="0" y="0"/>
                      <a:ext cx="5486400" cy="3392650"/>
                    </a:xfrm>
                    <a:prstGeom prst="rect"/>
                  </pic:spPr>
                </pic:pic>
              </a:graphicData>
            </a:graphic>
          </wp: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