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applies complex scaling to the same short-range potential. The coordinate is rotated as x→x exp(iθ), so the Hamiltonian becomes non-Hermitian and its eigenvalues can be complex. The calculation uses J=2000, L=200 and N=10000 for θ=0, 0.05, 0.10, 0.15, 0.20 and 0.25.</w:t>
      </w:r>
    </w:p>
    <w:p>
      <w:pPr>
        <w:spacing w:before="20" w:after="80"/>
        <w:jc w:val="center"/>
      </w:pPr>
      <w:r>
        <w:rPr>
          <w:rFonts w:ascii="Cambria Math" w:hAnsi="Cambria Math"/>
          <w:sz w:val="22"/>
        </w:rPr>
        <w:t>Hθ = −(1/2) exp(−2iθ) d²/dx² + V[x exp(iθ)].</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wp:inline xmlns:a="http://schemas.openxmlformats.org/drawingml/2006/main" xmlns:pic="http://schemas.openxmlformats.org/drawingml/2006/picture">
            <wp:extent cx="5623560" cy="2932285"/>
            <wp:docPr id="27" name="Picture 27"/>
            <wp:cNvGraphicFramePr>
              <a:graphicFrameLocks noChangeAspect="1"/>
            </wp:cNvGraphicFramePr>
            <a:graphic>
              <a:graphicData uri="http://schemas.openxmlformats.org/drawingml/2006/picture">
                <pic:pic>
                  <pic:nvPicPr>
                    <pic:cNvPr id="0" name="part6_complex_eigenvalues_all.png"/>
                    <pic:cNvPicPr/>
                  </pic:nvPicPr>
                  <pic:blipFill>
                    <a:blip r:embed="rId35"/>
                    <a:stretch>
                      <a:fillRect/>
                    </a:stretch>
                  </pic:blipFill>
                  <pic:spPr>
                    <a:xfrm>
                      <a:off x="0" y="0"/>
                      <a:ext cx="5623560" cy="2932285"/>
                    </a:xfrm>
                    <a:prstGeom prst="rect"/>
                  </pic:spPr>
                </pic:pic>
              </a:graphicData>
            </a:graphic>
          </wp: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wp:inline xmlns:a="http://schemas.openxmlformats.org/drawingml/2006/main" xmlns:pic="http://schemas.openxmlformats.org/drawingml/2006/picture">
            <wp:extent cx="5623560" cy="2972453"/>
            <wp:docPr id="28" name="Picture 28"/>
            <wp:cNvGraphicFramePr>
              <a:graphicFrameLocks noChangeAspect="1"/>
            </wp:cNvGraphicFramePr>
            <a:graphic>
              <a:graphicData uri="http://schemas.openxmlformats.org/drawingml/2006/picture">
                <pic:pic>
                  <pic:nvPicPr>
                    <pic:cNvPr id="0" name="part6_complex_eigenvalues_separate.png"/>
                    <pic:cNvPicPr/>
                  </pic:nvPicPr>
                  <pic:blipFill>
                    <a:blip r:embed="rId36"/>
                    <a:stretch>
                      <a:fillRect/>
                    </a:stretch>
                  </pic:blipFill>
                  <pic:spPr>
                    <a:xfrm>
                      <a:off x="0" y="0"/>
                      <a:ext cx="5623560" cy="2972453"/>
                    </a:xfrm>
                    <a:prstGeom prst="rect"/>
                  </pic:spPr>
                </pic:pic>
              </a:graphicData>
            </a:graphic>
          </wp:inline>
        </w:drawing>
      </w:r>
    </w:p>
    <w:p>
      <w:pPr>
        <w:pStyle w:val="af7"/>
        <w:spacing w:before="20" w:after="100"/>
        <w:jc w:val="center"/>
      </w:pPr>
      <w:r>
        <w:t>Figure 20. The same complex-energy spectra shown separately for each value of θ.</w:t>
      </w:r>
    </w:p>
    <w:p>
      <w:r>
        <w:t>The first two stable complex energies are approximately E₁=0.620971−0.000058i and E₂=1.327197−0.015447i. Their real parts are close to the two transmission peaks found in Part 3. The much smaller imaginary part of E₁ is consistent with the first peak being much narrower than the second.</w:t>
      </w:r>
    </w:p>
    <w:p>
      <w:r>
        <w:br w:type="page"/>
      </w:r>
    </w:p>
    <w:p>
      <w:pPr>
        <w:pStyle w:val="21"/>
      </w:pPr>
      <w:r>
        <w:t>6.2 Breit-Wigner profiles</w:t>
      </w:r>
    </w:p>
    <w:p>
      <w:r>
        <w:t>A resonance energy can be written as Eₙ=Eres,n−iΓₙ/2. Its real part gives the resonance position, while Γₙ gives the width of the corresponding Breit-Wigner peak.</w:t>
      </w:r>
    </w:p>
    <w:p>
      <w:pPr>
        <w:spacing w:before="20" w:after="80"/>
        <w:jc w:val="center"/>
      </w:pPr>
      <w:r>
        <w:rPr>
          <w:rFonts w:ascii="Cambria Math" w:hAnsi="Cambria Math"/>
          <w:sz w:val="22"/>
        </w:rPr>
        <w:t>|T(E)|² ≈ (Γₙ/2)² / [(E−Eres,n)² + (Γₙ/2)²].</w:t>
      </w:r>
    </w:p>
    <w:p>
      <w:pPr>
        <w:spacing w:before="0" w:after="0"/>
        <w:jc w:val="center"/>
      </w:pPr>
      <w:r>
        <w:drawing>
          <wp:inline xmlns:a="http://schemas.openxmlformats.org/drawingml/2006/main" xmlns:pic="http://schemas.openxmlformats.org/drawingml/2006/picture">
            <wp:extent cx="5166360" cy="3600796"/>
            <wp:docPr id="29" name="Picture 29"/>
            <wp:cNvGraphicFramePr>
              <a:graphicFrameLocks noChangeAspect="1"/>
            </wp:cNvGraphicFramePr>
            <a:graphic>
              <a:graphicData uri="http://schemas.openxmlformats.org/drawingml/2006/picture">
                <pic:pic>
                  <pic:nvPicPr>
                    <pic:cNvPr id="0" name="part6_breit_wigner_all.png"/>
                    <pic:cNvPicPr/>
                  </pic:nvPicPr>
                  <pic:blipFill>
                    <a:blip r:embed="rId37"/>
                    <a:stretch>
                      <a:fillRect/>
                    </a:stretch>
                  </pic:blipFill>
                  <pic:spPr>
                    <a:xfrm>
                      <a:off x="0" y="0"/>
                      <a:ext cx="5166360" cy="3600796"/>
                    </a:xfrm>
                    <a:prstGeom prst="rect"/>
                  </pic:spPr>
                </pic:pic>
              </a:graphicData>
            </a:graphic>
          </wp: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wp:inline xmlns:a="http://schemas.openxmlformats.org/drawingml/2006/main" xmlns:pic="http://schemas.openxmlformats.org/drawingml/2006/picture">
            <wp:extent cx="5257800" cy="2253343"/>
            <wp:docPr id="30" name="Picture 30"/>
            <wp:cNvGraphicFramePr>
              <a:graphicFrameLocks noChangeAspect="1"/>
            </wp:cNvGraphicFramePr>
            <a:graphic>
              <a:graphicData uri="http://schemas.openxmlformats.org/drawingml/2006/picture">
                <pic:pic>
                  <pic:nvPicPr>
                    <pic:cNvPr id="0" name="part6_breit_wigner_zoom.png"/>
                    <pic:cNvPicPr/>
                  </pic:nvPicPr>
                  <pic:blipFill>
                    <a:blip r:embed="rId38"/>
                    <a:stretch>
                      <a:fillRect/>
                    </a:stretch>
                  </pic:blipFill>
                  <pic:spPr>
                    <a:xfrm>
                      <a:off x="0" y="0"/>
                      <a:ext cx="5257800" cy="2253343"/>
                    </a:xfrm>
                    <a:prstGeom prst="rect"/>
                  </pic:spPr>
                </pic:pic>
              </a:graphicData>
            </a:graphic>
          </wp:inline>
        </w:drawing>
      </w:r>
    </w:p>
    <w:p>
      <w:pPr>
        <w:pStyle w:val="af7"/>
        <w:spacing w:before="20" w:after="100"/>
        <w:jc w:val="center"/>
      </w:pPr>
      <w:r>
        <w:t>Figure 22. Detailed comparison around the first and second transmission peaks.</w:t>
      </w:r>
    </w:p>
    <w:p>
      <w:r>
        <w:t>Around the first resonance, the Breit-Wigner curves almost overlap the Hermitian transmission curve. For the second resonance, they reproduce the peak position and width but differ away from the maximum, where the transmission also contains a non-resonant background and contributions from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wp:inline xmlns:a="http://schemas.openxmlformats.org/drawingml/2006/main" xmlns:pic="http://schemas.openxmlformats.org/drawingml/2006/picture">
            <wp:extent cx="5349240" cy="2829670"/>
            <wp:docPr id="31" name="Picture 31"/>
            <wp:cNvGraphicFramePr>
              <a:graphicFrameLocks noChangeAspect="1"/>
            </wp:cNvGraphicFramePr>
            <a:graphic>
              <a:graphicData uri="http://schemas.openxmlformats.org/drawingml/2006/picture">
                <pic:pic>
                  <pic:nvPicPr>
                    <pic:cNvPr id="0" name="part6_resonance_wavefunction_near.png"/>
                    <pic:cNvPicPr/>
                  </pic:nvPicPr>
                  <pic:blipFill>
                    <a:blip r:embed="rId39"/>
                    <a:stretch>
                      <a:fillRect/>
                    </a:stretch>
                  </pic:blipFill>
                  <pic:spPr>
                    <a:xfrm>
                      <a:off x="0" y="0"/>
                      <a:ext cx="5349240" cy="2829670"/>
                    </a:xfrm>
                    <a:prstGeom prst="rect"/>
                  </pic:spPr>
                </pic:pic>
              </a:graphicData>
            </a:graphic>
          </wp:inline>
        </w:drawing>
      </w:r>
    </w:p>
    <w:p>
      <w:pPr>
        <w:pStyle w:val="af7"/>
        <w:spacing w:before="20" w:after="100"/>
        <w:jc w:val="center"/>
      </w:pPr>
      <w:r>
        <w:t>Figure 23. The second resonance wavefunction over −200≤x≤200 before and after complex scaling with θ=0.1.</w:t>
      </w:r>
    </w:p>
    <w:p>
      <w:pPr>
        <w:spacing w:before="0" w:after="0"/>
        <w:jc w:val="center"/>
      </w:pPr>
      <w:r>
        <w:drawing>
          <wp:inline xmlns:a="http://schemas.openxmlformats.org/drawingml/2006/main" xmlns:pic="http://schemas.openxmlformats.org/drawingml/2006/picture">
            <wp:extent cx="5349240" cy="2829670"/>
            <wp:docPr id="32" name="Picture 32"/>
            <wp:cNvGraphicFramePr>
              <a:graphicFrameLocks noChangeAspect="1"/>
            </wp:cNvGraphicFramePr>
            <a:graphic>
              <a:graphicData uri="http://schemas.openxmlformats.org/drawingml/2006/picture">
                <pic:pic>
                  <pic:nvPicPr>
                    <pic:cNvPr id="0" name="part6_resonance_wavefunction_far.png"/>
                    <pic:cNvPicPr/>
                  </pic:nvPicPr>
                  <pic:blipFill>
                    <a:blip r:embed="rId40"/>
                    <a:stretch>
                      <a:fillRect/>
                    </a:stretch>
                  </pic:blipFill>
                  <pic:spPr>
                    <a:xfrm>
                      <a:off x="0" y="0"/>
                      <a:ext cx="5349240" cy="2829670"/>
                    </a:xfrm>
                    <a:prstGeom prst="rect"/>
                  </pic:spPr>
                </pic:pic>
              </a:graphicData>
            </a:graphic>
          </wp:inline>
        </w:drawing>
      </w:r>
    </w:p>
    <w:p>
      <w:pPr>
        <w:pStyle w:val="af7"/>
        <w:spacing w:before="20" w:after="100"/>
        <w:jc w:val="center"/>
      </w:pPr>
      <w:r>
        <w:t>Figure 24. The same resonance state over −500≤x≤500, showing the outward growth of the unscaled state and the decay of the complex-scaled state.</w:t>
      </w:r>
    </w:p>
    <w:p>
      <w:r>
        <w:t>Therefore, complex scaling identifies resonance energies close to the transmission peaks from Part 3, explains their Breit-Wigner shapes, and converts the divergent resonance wavefunction into a decaying function that can be treated numerically.</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