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Complex scaling and resonance states</w:t>
      </w:r>
    </w:p>
    <w:p>
      <w:pPr>
        <w:jc w:val="both"/>
      </w:pPr>
      <w:r>
        <w:t>The short-range potential is now calculated with the complex-scaled coordinate x→x exp(iθ). This makes the Hamiltonian non-Hermitian, so resonance states can appear as complex eigenvalues. The calculation uses J=2000, L=200, N=10000 and θ=0, 0.05, 0.10, 0.15, 0.20, and 0.25.</w:t>
      </w:r>
    </w:p>
    <w:p>
      <w:pPr>
        <w:spacing w:before="20" w:after="80"/>
        <w:jc w:val="center"/>
      </w:pPr>
      <w:r>
        <w:rPr>
          <w:rFonts w:ascii="Cambria Math" w:hAnsi="Cambria Math"/>
          <w:sz w:val="20"/>
        </w:rPr>
        <w:t>Hθ = −(1/2) exp(−2iθ) d²/dx² + V[x exp(iθ)].</w:t>
      </w:r>
    </w:p>
    <w:p>
      <w:pPr>
        <w:pStyle w:val="21"/>
      </w:pPr>
      <w:r>
        <w:t>6.1 Complex eigenvalue spectra</w:t>
      </w:r>
    </w:p>
    <w:p>
      <w:pPr>
        <w:spacing w:before="0" w:after="0"/>
        <w:jc w:val="center"/>
      </w:pPr>
      <w:r>
        <w:drawing>
          <wp:inline xmlns:a="http://schemas.openxmlformats.org/drawingml/2006/main" xmlns:pic="http://schemas.openxmlformats.org/drawingml/2006/picture">
            <wp:extent cx="5486400" cy="2922281"/>
            <wp:docPr id="21" name="Picture 21"/>
            <wp:cNvGraphicFramePr>
              <a:graphicFrameLocks noChangeAspect="1"/>
            </wp:cNvGraphicFramePr>
            <a:graphic>
              <a:graphicData uri="http://schemas.openxmlformats.org/drawingml/2006/picture">
                <pic:pic>
                  <pic:nvPicPr>
                    <pic:cNvPr id="0" name="complex_eigenvalues_all.png"/>
                    <pic:cNvPicPr/>
                  </pic:nvPicPr>
                  <pic:blipFill>
                    <a:blip r:embed="rId31"/>
                    <a:stretch>
                      <a:fillRect/>
                    </a:stretch>
                  </pic:blipFill>
                  <pic:spPr>
                    <a:xfrm>
                      <a:off x="0" y="0"/>
                      <a:ext cx="5486400" cy="2922281"/>
                    </a:xfrm>
                    <a:prstGeom prst="rect"/>
                  </pic:spPr>
                </pic:pic>
              </a:graphicData>
            </a:graphic>
          </wp:inline>
        </w:drawing>
      </w:r>
    </w:p>
    <w:p>
      <w:pPr>
        <w:spacing w:before="20" w:after="60"/>
        <w:jc w:val="center"/>
      </w:pPr>
      <w:r>
        <w:rPr>
          <w:i/>
          <w:sz w:val="16"/>
        </w:rPr>
        <w:t>Figure 21. Complex eigenvalues for several values of θ shown in one plot.</w:t>
      </w:r>
    </w:p>
    <w:p>
      <w:pPr>
        <w:jc w:val="both"/>
      </w:pPr>
      <w:r>
        <w:t>At θ=0, the box continuum lies on the real axis. As θ increases, these states rotate downward into the complex-energy plane. The isolated points that stay nearly fixed are the resonance eigenvalues.</w:t>
      </w:r>
    </w:p>
    <w:p>
      <w:r>
        <w:br w:type="page"/>
      </w:r>
    </w:p>
    <w:p>
      <w:pPr>
        <w:spacing w:before="0" w:after="0"/>
        <w:jc w:val="center"/>
      </w:pPr>
      <w:r>
        <w:drawing>
          <wp:inline xmlns:a="http://schemas.openxmlformats.org/drawingml/2006/main" xmlns:pic="http://schemas.openxmlformats.org/drawingml/2006/picture">
            <wp:extent cx="5486400" cy="3127909"/>
            <wp:docPr id="22" name="Picture 22"/>
            <wp:cNvGraphicFramePr>
              <a:graphicFrameLocks noChangeAspect="1"/>
            </wp:cNvGraphicFramePr>
            <a:graphic>
              <a:graphicData uri="http://schemas.openxmlformats.org/drawingml/2006/picture">
                <pic:pic>
                  <pic:nvPicPr>
                    <pic:cNvPr id="0" name="complex_eigenvalues_by_theta.png"/>
                    <pic:cNvPicPr/>
                  </pic:nvPicPr>
                  <pic:blipFill>
                    <a:blip r:embed="rId32"/>
                    <a:stretch>
                      <a:fillRect/>
                    </a:stretch>
                  </pic:blipFill>
                  <pic:spPr>
                    <a:xfrm>
                      <a:off x="0" y="0"/>
                      <a:ext cx="5486400" cy="3127909"/>
                    </a:xfrm>
                    <a:prstGeom prst="rect"/>
                  </pic:spPr>
                </pic:pic>
              </a:graphicData>
            </a:graphic>
          </wp:inline>
        </w:drawing>
      </w:r>
    </w:p>
    <w:p>
      <w:pPr>
        <w:spacing w:before="20" w:after="60"/>
        <w:jc w:val="center"/>
      </w:pPr>
      <w:r>
        <w:rPr>
          <w:i/>
          <w:sz w:val="16"/>
        </w:rPr>
        <w:t>Figure 22. The same complex-energy spectra shown separately for each value of θ.</w:t>
      </w:r>
    </w:p>
    <w:p>
      <w:pPr>
        <w:jc w:val="both"/>
      </w:pPr>
      <w:r>
        <w:t>The first two resonance energies are E₁≈0.620971−0.000058i and E₂≈1.327197−0.015447i. Their real parts are close to the two transmission peaks from Part 3. The first resonance has a much smaller imaginary part, which agrees with its much narrower transmission peak.</w:t>
      </w:r>
    </w:p>
    <w:p>
      <w:r>
        <w:br w:type="page"/>
      </w:r>
    </w:p>
    <w:p>
      <w:pPr>
        <w:pStyle w:val="21"/>
      </w:pPr>
      <w:r>
        <w:t>6.2 Breit-Wigner profiles</w:t>
      </w:r>
    </w:p>
    <w:p>
      <w:pPr>
        <w:jc w:val="both"/>
      </w:pPr>
      <w:r>
        <w:t>For a complex resonance energy Eₙ=Eres,n−iΓₙ/2, the real part gives the peak position and Γₙ gives its width. The corresponding transmission peak has the Breit-Wigner form</w:t>
      </w:r>
    </w:p>
    <w:p>
      <w:pPr>
        <w:spacing w:before="20" w:after="80"/>
        <w:jc w:val="center"/>
      </w:pPr>
      <w:r>
        <w:rPr>
          <w:rFonts w:ascii="Cambria Math" w:hAnsi="Cambria Math"/>
          <w:sz w:val="20"/>
        </w:rPr>
        <w:t>|T(E)|² ≈ (Γₙ/2)² / [(E−Eres,n)² + (Γₙ/2)²].</w:t>
      </w:r>
    </w:p>
    <w:p>
      <w:pPr>
        <w:spacing w:before="0" w:after="0"/>
        <w:jc w:val="center"/>
      </w:pPr>
      <w:r>
        <w:drawing>
          <wp:inline xmlns:a="http://schemas.openxmlformats.org/drawingml/2006/main" xmlns:pic="http://schemas.openxmlformats.org/drawingml/2006/picture">
            <wp:extent cx="5257800" cy="3143759"/>
            <wp:docPr id="23" name="Picture 23"/>
            <wp:cNvGraphicFramePr>
              <a:graphicFrameLocks noChangeAspect="1"/>
            </wp:cNvGraphicFramePr>
            <a:graphic>
              <a:graphicData uri="http://schemas.openxmlformats.org/drawingml/2006/picture">
                <pic:pic>
                  <pic:nvPicPr>
                    <pic:cNvPr id="0" name="breit_wigner_profiles_all.png"/>
                    <pic:cNvPicPr/>
                  </pic:nvPicPr>
                  <pic:blipFill>
                    <a:blip r:embed="rId33"/>
                    <a:stretch>
                      <a:fillRect/>
                    </a:stretch>
                  </pic:blipFill>
                  <pic:spPr>
                    <a:xfrm>
                      <a:off x="0" y="0"/>
                      <a:ext cx="5257800" cy="3143759"/>
                    </a:xfrm>
                    <a:prstGeom prst="rect"/>
                  </pic:spPr>
                </pic:pic>
              </a:graphicData>
            </a:graphic>
          </wp:inline>
        </w:drawing>
      </w:r>
    </w:p>
    <w:p>
      <w:pPr>
        <w:spacing w:before="20" w:after="60"/>
        <w:jc w:val="center"/>
      </w:pPr>
      <w:r>
        <w:rPr>
          <w:i/>
          <w:sz w:val="16"/>
        </w:rPr>
        <w:t>Figure 23. Hermitian transmission and Breit-Wigner profiles from the complex resonance energies.</w:t>
      </w:r>
    </w:p>
    <w:p>
      <w:pPr>
        <w:spacing w:before="0" w:after="0"/>
        <w:jc w:val="center"/>
      </w:pPr>
      <w:r>
        <w:drawing>
          <wp:inline xmlns:a="http://schemas.openxmlformats.org/drawingml/2006/main" xmlns:pic="http://schemas.openxmlformats.org/drawingml/2006/picture">
            <wp:extent cx="5303520" cy="2497019"/>
            <wp:docPr id="24" name="Picture 24"/>
            <wp:cNvGraphicFramePr>
              <a:graphicFrameLocks noChangeAspect="1"/>
            </wp:cNvGraphicFramePr>
            <a:graphic>
              <a:graphicData uri="http://schemas.openxmlformats.org/drawingml/2006/picture">
                <pic:pic>
                  <pic:nvPicPr>
                    <pic:cNvPr id="0" name="breit_wigner_profiles_zoom.png"/>
                    <pic:cNvPicPr/>
                  </pic:nvPicPr>
                  <pic:blipFill>
                    <a:blip r:embed="rId34"/>
                    <a:stretch>
                      <a:fillRect/>
                    </a:stretch>
                  </pic:blipFill>
                  <pic:spPr>
                    <a:xfrm>
                      <a:off x="0" y="0"/>
                      <a:ext cx="5303520" cy="2497019"/>
                    </a:xfrm>
                    <a:prstGeom prst="rect"/>
                  </pic:spPr>
                </pic:pic>
              </a:graphicData>
            </a:graphic>
          </wp:inline>
        </w:drawing>
      </w:r>
    </w:p>
    <w:p>
      <w:pPr>
        <w:spacing w:before="20" w:after="60"/>
        <w:jc w:val="center"/>
      </w:pPr>
      <w:r>
        <w:rPr>
          <w:i/>
          <w:sz w:val="16"/>
        </w:rPr>
        <w:t>Figure 24. Detailed comparison around the first and second resonance peaks.</w:t>
      </w:r>
    </w:p>
    <w:p>
      <w:pPr>
        <w:jc w:val="both"/>
      </w:pPr>
      <w:r>
        <w:t>The first Breit-Wigner profile almost overlaps the Hermitian result. The second one gives the peak position and width, but the curves differ away from the maximum because the transmission also contains background and broader-resonance contributions.</w:t>
      </w:r>
    </w:p>
    <w:p>
      <w:r>
        <w:br w:type="page"/>
      </w:r>
    </w:p>
    <w:p>
      <w:pPr>
        <w:pStyle w:val="21"/>
      </w:pPr>
      <w:r>
        <w:t>6.3 Resonance wave function</w:t>
      </w:r>
    </w:p>
    <w:p>
      <w:pPr>
        <w:jc w:val="both"/>
      </w:pPr>
      <w:r>
        <w:t>Figures 25 and 26 show the second resonance state, Eres≈1.327197−0.015447i. The original Siegert wave function has outgoing boundary conditions and grows at large |x|. After complex scaling, ψθ(x)=ψ[x exp(iθ)] with θ=0.1 decays away from the potential.</w:t>
      </w:r>
    </w:p>
    <w:p>
      <w:pPr>
        <w:spacing w:before="0" w:after="0"/>
        <w:jc w:val="center"/>
      </w:pPr>
      <w:r>
        <w:drawing>
          <wp:inline xmlns:a="http://schemas.openxmlformats.org/drawingml/2006/main" xmlns:pic="http://schemas.openxmlformats.org/drawingml/2006/picture">
            <wp:extent cx="5349240" cy="2942749"/>
            <wp:docPr id="25" name="Picture 25"/>
            <wp:cNvGraphicFramePr>
              <a:graphicFrameLocks noChangeAspect="1"/>
            </wp:cNvGraphicFramePr>
            <a:graphic>
              <a:graphicData uri="http://schemas.openxmlformats.org/drawingml/2006/picture">
                <pic:pic>
                  <pic:nvPicPr>
                    <pic:cNvPr id="0" name="resonance_wavefunction_near.png"/>
                    <pic:cNvPicPr/>
                  </pic:nvPicPr>
                  <pic:blipFill>
                    <a:blip r:embed="rId35"/>
                    <a:stretch>
                      <a:fillRect/>
                    </a:stretch>
                  </pic:blipFill>
                  <pic:spPr>
                    <a:xfrm>
                      <a:off x="0" y="0"/>
                      <a:ext cx="5349240" cy="2942749"/>
                    </a:xfrm>
                    <a:prstGeom prst="rect"/>
                  </pic:spPr>
                </pic:pic>
              </a:graphicData>
            </a:graphic>
          </wp:inline>
        </w:drawing>
      </w:r>
    </w:p>
    <w:p>
      <w:pPr>
        <w:spacing w:before="20" w:after="60"/>
        <w:jc w:val="center"/>
      </w:pPr>
      <w:r>
        <w:rPr>
          <w:i/>
          <w:sz w:val="16"/>
        </w:rPr>
        <w:t>Figure 25. Second resonance wave function for −200≤x≤200 before and after complex scaling.</w:t>
      </w:r>
    </w:p>
    <w:p>
      <w:pPr>
        <w:spacing w:before="0" w:after="0"/>
        <w:jc w:val="center"/>
      </w:pPr>
      <w:r>
        <w:drawing>
          <wp:inline xmlns:a="http://schemas.openxmlformats.org/drawingml/2006/main" xmlns:pic="http://schemas.openxmlformats.org/drawingml/2006/picture">
            <wp:extent cx="5349240" cy="2942749"/>
            <wp:docPr id="26" name="Picture 26"/>
            <wp:cNvGraphicFramePr>
              <a:graphicFrameLocks noChangeAspect="1"/>
            </wp:cNvGraphicFramePr>
            <a:graphic>
              <a:graphicData uri="http://schemas.openxmlformats.org/drawingml/2006/picture">
                <pic:pic>
                  <pic:nvPicPr>
                    <pic:cNvPr id="0" name="resonance_wavefunction_far.png"/>
                    <pic:cNvPicPr/>
                  </pic:nvPicPr>
                  <pic:blipFill>
                    <a:blip r:embed="rId36"/>
                    <a:stretch>
                      <a:fillRect/>
                    </a:stretch>
                  </pic:blipFill>
                  <pic:spPr>
                    <a:xfrm>
                      <a:off x="0" y="0"/>
                      <a:ext cx="5349240" cy="2942749"/>
                    </a:xfrm>
                    <a:prstGeom prst="rect"/>
                  </pic:spPr>
                </pic:pic>
              </a:graphicData>
            </a:graphic>
          </wp:inline>
        </w:drawing>
      </w:r>
    </w:p>
    <w:p>
      <w:pPr>
        <w:spacing w:before="20" w:after="60"/>
        <w:jc w:val="center"/>
      </w:pPr>
      <w:r>
        <w:rPr>
          <w:i/>
          <w:sz w:val="16"/>
        </w:rPr>
        <w:t>Figure 26. The same resonance wave function over −500≤x≤500.</w:t>
      </w:r>
    </w:p>
    <w:p>
      <w:pPr>
        <w:jc w:val="both"/>
      </w:pPr>
      <w:r>
        <w:t>The larger range makes the difference clearer: the unscaled state grows outward, while the complex-scaled state remains localized. Thus the complex resonance energies explain the transmission peaks found by the Hermitian calculation and provide a direct picture of the resonance states.</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