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p₀</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20" w:after="80"/>
        <w:jc w:val="center"/>
      </w:pPr>
      <w:r/>
      <w:r>
        <w:rPr>
          <w:rFonts w:ascii="Cambria Math" w:hAnsi="Cambria Math"/>
          <w:sz w:val="22"/>
        </w:rPr>
        <w:t>Hθ = exp(−2iθ)T + V[x exp(iθ)] = −(1/2) exp(−2iθ) d²/dx² + V[x exp(iθ)].</w:t>
      </w:r>
    </w:p>
    <w:p>
      <w:pPr/>
      <w:r>
        <w:t>The kinetic-energy matrix is multiplied by exp(−2iθ), while the potential matrix is evaluated at the complex coordinate. The resulting non-Hermitian matrix is diagonalized in the same sine basis:</w:t>
      </w:r>
    </w:p>
    <w:p>
      <w:pPr>
        <w:jc w:val="center"/>
      </w:pPr>
      <w:r>
        <w:rPr>
          <w:rFonts w:ascii="Cambria Math" w:hAnsi="Cambria Math"/>
          <w:sz w:val="22"/>
        </w:rPr>
        <w:t>Hθ c⁽ⁿ⁾ = Eₙ(θ)c⁽ⁿ⁾.</w:t>
      </w:r>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jc w:val="center"/>
      </w:pPr>
      <w:r>
        <w:rPr>
          <w:rFonts w:ascii="Cambria Math" w:hAnsi="Cambria Math"/>
          <w:sz w:val="22"/>
        </w:rPr>
        <w:t>Eₙ = Eres,n − iΓₙ/2,     Γₙ = −2 Im(Eₙ).</w:t>
      </w:r>
    </w:p>
    <w:p>
      <w:pPr/>
      <w:r>
        <w:t>The real part Eres,n gives the center of the transmission peak. The positive quantity Γₙ gives the full width at half maximum of an isolated Breit-Wigner peak:</w:t>
      </w:r>
    </w:p>
    <w:p>
      <w:pPr>
        <w:jc w:val="center"/>
      </w:pPr>
      <w:r>
        <w:rPr>
          <w:rFonts w:ascii="Cambria Math" w:hAnsi="Cambria Math"/>
          <w:sz w:val="22"/>
        </w:rPr>
        <w:t>|T(E)|² ≈ (Γₙ/2)² / [(E−Eres,n)² + (Γₙ/2)²].</w:t>
      </w:r>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wp:inline xmlns:a="http://schemas.openxmlformats.org/drawingml/2006/main" xmlns:pic="http://schemas.openxmlformats.org/drawingml/2006/picture">
            <wp:extent cx="5623560" cy="2932285"/>
            <wp:docPr id="27" name="Picture 27"/>
            <wp:cNvGraphicFramePr>
              <a:graphicFrameLocks noChangeAspect="1"/>
            </wp:cNvGraphicFramePr>
            <a:graphic>
              <a:graphicData uri="http://schemas.openxmlformats.org/drawingml/2006/picture">
                <pic:pic>
                  <pic:nvPicPr>
                    <pic:cNvPr id="0" name="part6_complex_eigenvalues_all.png"/>
                    <pic:cNvPicPr/>
                  </pic:nvPicPr>
                  <pic:blipFill>
                    <a:blip r:embed="rId35"/>
                    <a:stretch>
                      <a:fillRect/>
                    </a:stretch>
                  </pic:blipFill>
                  <pic:spPr>
                    <a:xfrm>
                      <a:off x="0" y="0"/>
                      <a:ext cx="5623560" cy="2932285"/>
                    </a:xfrm>
                    <a:prstGeom prst="rect"/>
                  </pic:spPr>
                </pic:pic>
              </a:graphicData>
            </a:graphic>
          </wp: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wp:inline xmlns:a="http://schemas.openxmlformats.org/drawingml/2006/main" xmlns:pic="http://schemas.openxmlformats.org/drawingml/2006/picture">
            <wp:extent cx="5623560" cy="2972453"/>
            <wp:docPr id="28" name="Picture 28"/>
            <wp:cNvGraphicFramePr>
              <a:graphicFrameLocks noChangeAspect="1"/>
            </wp:cNvGraphicFramePr>
            <a:graphic>
              <a:graphicData uri="http://schemas.openxmlformats.org/drawingml/2006/picture">
                <pic:pic>
                  <pic:nvPicPr>
                    <pic:cNvPr id="0" name="part6_complex_eigenvalues_separate.png"/>
                    <pic:cNvPicPr/>
                  </pic:nvPicPr>
                  <pic:blipFill>
                    <a:blip r:embed="rId36"/>
                    <a:stretch>
                      <a:fillRect/>
                    </a:stretch>
                  </pic:blipFill>
                  <pic:spPr>
                    <a:xfrm>
                      <a:off x="0" y="0"/>
                      <a:ext cx="5623560" cy="2972453"/>
                    </a:xfrm>
                    <a:prstGeom prst="rect"/>
                  </pic:spPr>
                </pic:pic>
              </a:graphicData>
            </a:graphic>
          </wp:inline>
        </w:drawing>
      </w:r>
    </w:p>
    <w:p>
      <w:pPr>
        <w:pStyle w:val="af7"/>
        <w:spacing w:before="20" w:after="100"/>
        <w:jc w:val="center"/>
      </w:pPr>
      <w:r>
        <w:t>Figure 20. The same complex-energy spectra shown separately for each value of θ.</w:t>
      </w:r>
    </w:p>
    <w:p>
      <w:r>
        <w:t>The first two stable complex energies are approximately E₁=0.620971−0.000058i and E₂=1.327197−0.015447i. Their real parts are close to the two transmission peaks found in Part 3. They give Γ₁≈0.000116 and Γ₂≈0.030894, so the first resonance is much narrower than the second.</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wp:inline xmlns:a="http://schemas.openxmlformats.org/drawingml/2006/main" xmlns:pic="http://schemas.openxmlformats.org/drawingml/2006/picture">
            <wp:extent cx="5166360" cy="3600796"/>
            <wp:docPr id="29" name="Picture 29"/>
            <wp:cNvGraphicFramePr>
              <a:graphicFrameLocks noChangeAspect="1"/>
            </wp:cNvGraphicFramePr>
            <a:graphic>
              <a:graphicData uri="http://schemas.openxmlformats.org/drawingml/2006/picture">
                <pic:pic>
                  <pic:nvPicPr>
                    <pic:cNvPr id="0" name="part6_breit_wigner_all.png"/>
                    <pic:cNvPicPr/>
                  </pic:nvPicPr>
                  <pic:blipFill>
                    <a:blip r:embed="rId37"/>
                    <a:stretch>
                      <a:fillRect/>
                    </a:stretch>
                  </pic:blipFill>
                  <pic:spPr>
                    <a:xfrm>
                      <a:off x="0" y="0"/>
                      <a:ext cx="5166360" cy="3600796"/>
                    </a:xfrm>
                    <a:prstGeom prst="rect"/>
                  </pic:spPr>
                </pic:pic>
              </a:graphicData>
            </a:graphic>
          </wp: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wp:inline xmlns:a="http://schemas.openxmlformats.org/drawingml/2006/main" xmlns:pic="http://schemas.openxmlformats.org/drawingml/2006/picture">
            <wp:extent cx="5257800" cy="2253343"/>
            <wp:docPr id="30" name="Picture 30"/>
            <wp:cNvGraphicFramePr>
              <a:graphicFrameLocks noChangeAspect="1"/>
            </wp:cNvGraphicFramePr>
            <a:graphic>
              <a:graphicData uri="http://schemas.openxmlformats.org/drawingml/2006/picture">
                <pic:pic>
                  <pic:nvPicPr>
                    <pic:cNvPr id="0" name="part6_breit_wigner_zoom.png"/>
                    <pic:cNvPicPr/>
                  </pic:nvPicPr>
                  <pic:blipFill>
                    <a:blip r:embed="rId38"/>
                    <a:stretch>
                      <a:fillRect/>
                    </a:stretch>
                  </pic:blipFill>
                  <pic:spPr>
                    <a:xfrm>
                      <a:off x="0" y="0"/>
                      <a:ext cx="5257800" cy="2253343"/>
                    </a:xfrm>
                    <a:prstGeom prst="rect"/>
                  </pic:spPr>
                </pic:pic>
              </a:graphicData>
            </a:graphic>
          </wp:inline>
        </w:drawing>
      </w:r>
    </w:p>
    <w:p>
      <w:pPr>
        <w:pStyle w:val="af7"/>
        <w:spacing w:before="20" w:after="100"/>
        <w:jc w:val="center"/>
      </w:pPr>
      <w:r>
        <w:t>Figure 22. Detailed comparison around the first and second transmission peaks.</w:t>
      </w:r>
    </w:p>
    <w:p>
      <w:r>
        <w:t>Around the first resonance, the Breit-Wigner curves almost overlap the Hermitian transmission curve, reproducing both the center and the very small width. Around the second resonance, the calculated center and broader width remain close to the Hermitian peak, but the curves differ away from the maximum. This difference is consistent with a non-resonant background and contributions from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wp:inline xmlns:a="http://schemas.openxmlformats.org/drawingml/2006/main" xmlns:pic="http://schemas.openxmlformats.org/drawingml/2006/picture">
            <wp:extent cx="5349240" cy="2829670"/>
            <wp:docPr id="31" name="Picture 31"/>
            <wp:cNvGraphicFramePr>
              <a:graphicFrameLocks noChangeAspect="1"/>
            </wp:cNvGraphicFramePr>
            <a:graphic>
              <a:graphicData uri="http://schemas.openxmlformats.org/drawingml/2006/picture">
                <pic:pic>
                  <pic:nvPicPr>
                    <pic:cNvPr id="0" name="part6_resonance_wavefunction_near.png"/>
                    <pic:cNvPicPr/>
                  </pic:nvPicPr>
                  <pic:blipFill>
                    <a:blip r:embed="rId39"/>
                    <a:stretch>
                      <a:fillRect/>
                    </a:stretch>
                  </pic:blipFill>
                  <pic:spPr>
                    <a:xfrm>
                      <a:off x="0" y="0"/>
                      <a:ext cx="5349240" cy="2829670"/>
                    </a:xfrm>
                    <a:prstGeom prst="rect"/>
                  </pic:spPr>
                </pic:pic>
              </a:graphicData>
            </a:graphic>
          </wp:inline>
        </w:drawing>
      </w:r>
    </w:p>
    <w:p>
      <w:pPr>
        <w:pStyle w:val="af7"/>
        <w:spacing w:before="20" w:after="100"/>
        <w:jc w:val="center"/>
      </w:pPr>
      <w:r>
        <w:t>Figure 23. The second resonance wavefunction over −200≤x≤200 before and after complex scaling with θ=0.1.</w:t>
      </w:r>
    </w:p>
    <w:p>
      <w:pPr>
        <w:spacing w:before="0" w:after="0"/>
        <w:jc w:val="center"/>
      </w:pPr>
      <w:r>
        <w:drawing>
          <wp:inline xmlns:a="http://schemas.openxmlformats.org/drawingml/2006/main" xmlns:pic="http://schemas.openxmlformats.org/drawingml/2006/picture">
            <wp:extent cx="5349240" cy="2829670"/>
            <wp:docPr id="32" name="Picture 32"/>
            <wp:cNvGraphicFramePr>
              <a:graphicFrameLocks noChangeAspect="1"/>
            </wp:cNvGraphicFramePr>
            <a:graphic>
              <a:graphicData uri="http://schemas.openxmlformats.org/drawingml/2006/picture">
                <pic:pic>
                  <pic:nvPicPr>
                    <pic:cNvPr id="0" name="part6_resonance_wavefunction_far.png"/>
                    <pic:cNvPicPr/>
                  </pic:nvPicPr>
                  <pic:blipFill>
                    <a:blip r:embed="rId40"/>
                    <a:stretch>
                      <a:fillRect/>
                    </a:stretch>
                  </pic:blipFill>
                  <pic:spPr>
                    <a:xfrm>
                      <a:off x="0" y="0"/>
                      <a:ext cx="5349240" cy="2829670"/>
                    </a:xfrm>
                    <a:prstGeom prst="rect"/>
                  </pic:spPr>
                </pic:pic>
              </a:graphicData>
            </a:graphic>
          </wp: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