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6190" w14:textId="3E2ECEB2" w:rsidR="008516CB" w:rsidRPr="00F95946" w:rsidRDefault="008516CB" w:rsidP="00F95946">
      <w:pPr>
        <w:shd w:val="clear" w:color="auto" w:fill="FFFFFF"/>
        <w:spacing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This article</w:t>
      </w:r>
      <w:r w:rsidR="000848AD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A01F29">
        <w:rPr>
          <w:rFonts w:ascii="Georgia" w:hAnsi="Georgia"/>
          <w:sz w:val="18"/>
          <w:szCs w:val="18"/>
          <w:shd w:val="clear" w:color="auto" w:fill="FFFFFF"/>
        </w:rPr>
        <w:t>is about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E66E88" w:rsidRPr="000848AD">
        <w:rPr>
          <w:rFonts w:ascii="Georgia" w:hAnsi="Georgia"/>
          <w:sz w:val="18"/>
          <w:szCs w:val="18"/>
          <w:shd w:val="clear" w:color="auto" w:fill="FFFFFF"/>
        </w:rPr>
        <w:t>A Contribution to Nanotechnology Development Strategy</w:t>
      </w:r>
      <w:r w:rsidR="00F95946" w:rsidRPr="000848AD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6B5A5C" w:rsidRPr="000848AD">
        <w:rPr>
          <w:rFonts w:ascii="Georgia" w:hAnsi="Georgia"/>
          <w:sz w:val="18"/>
          <w:szCs w:val="18"/>
          <w:shd w:val="clear" w:color="auto" w:fill="FFFFFF"/>
        </w:rPr>
        <w:t>in</w:t>
      </w:r>
      <w:r w:rsidR="00F7568C">
        <w:rPr>
          <w:rFonts w:ascii="Georgia" w:hAnsi="Georgia"/>
          <w:sz w:val="18"/>
          <w:szCs w:val="18"/>
          <w:shd w:val="clear" w:color="auto" w:fill="FFFFFF"/>
        </w:rPr>
        <w:t xml:space="preserve"> a</w:t>
      </w:r>
      <w:r w:rsidR="006234D0">
        <w:rPr>
          <w:rFonts w:ascii="Georgia" w:hAnsi="Georgia"/>
          <w:sz w:val="18"/>
          <w:szCs w:val="18"/>
          <w:shd w:val="clear" w:color="auto" w:fill="FFFFFF"/>
        </w:rPr>
        <w:t>n</w:t>
      </w:r>
      <w:r w:rsidR="00F7568C">
        <w:rPr>
          <w:rFonts w:ascii="Georgia" w:hAnsi="Georgia"/>
          <w:sz w:val="18"/>
          <w:szCs w:val="18"/>
          <w:shd w:val="clear" w:color="auto" w:fill="FFFFFF"/>
        </w:rPr>
        <w:t xml:space="preserve"> area</w:t>
      </w:r>
      <w:r w:rsidR="00A01F29">
        <w:rPr>
          <w:rFonts w:ascii="Georgia" w:hAnsi="Georgia"/>
          <w:sz w:val="18"/>
          <w:szCs w:val="18"/>
          <w:shd w:val="clear" w:color="auto" w:fill="FFFFFF"/>
        </w:rPr>
        <w:t xml:space="preserve"> in</w:t>
      </w:r>
      <w:r w:rsidR="006B5A5C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AE42A9" w:rsidRPr="007F0DA4">
        <w:rPr>
          <w:rFonts w:ascii="Georgia" w:hAnsi="Georgia"/>
          <w:sz w:val="18"/>
          <w:szCs w:val="18"/>
          <w:shd w:val="clear" w:color="auto" w:fill="FFFFFF"/>
        </w:rPr>
        <w:t>Poland</w:t>
      </w:r>
      <w:r w:rsidR="00F95946">
        <w:rPr>
          <w:rFonts w:ascii="Georgia" w:hAnsi="Georgia"/>
          <w:sz w:val="18"/>
          <w:szCs w:val="18"/>
          <w:shd w:val="clear" w:color="auto" w:fill="FFFFFF"/>
        </w:rPr>
        <w:t>.</w:t>
      </w:r>
    </w:p>
    <w:p w14:paraId="186DE806" w14:textId="55ABAC72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This approach </w:t>
      </w:r>
      <w:r w:rsidR="001365D7">
        <w:rPr>
          <w:rFonts w:ascii="Georgia" w:hAnsi="Georgia"/>
          <w:sz w:val="18"/>
          <w:szCs w:val="18"/>
          <w:shd w:val="clear" w:color="auto" w:fill="FFFFFF"/>
        </w:rPr>
        <w:t>identifies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nanotechnologies that offer high socio</w:t>
      </w:r>
      <w:r w:rsidR="00805A67" w:rsidRPr="007F0DA4">
        <w:rPr>
          <w:rFonts w:ascii="Georgia" w:hAnsi="Georgia"/>
          <w:sz w:val="18"/>
          <w:szCs w:val="18"/>
          <w:shd w:val="clear" w:color="auto" w:fill="FFFFFF"/>
        </w:rPr>
        <w:t>-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>economic benefits in the long run.</w:t>
      </w:r>
    </w:p>
    <w:p w14:paraId="1DB0C4A6" w14:textId="77777777" w:rsidR="008516CB" w:rsidRPr="007F0DA4" w:rsidRDefault="008516CB" w:rsidP="00D90C4E">
      <w:pPr>
        <w:pBdr>
          <w:bottom w:val="single" w:sz="4" w:space="1" w:color="auto"/>
        </w:pBdr>
        <w:spacing w:after="0" w:line="240" w:lineRule="atLeast"/>
        <w:jc w:val="both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174CB01" w14:textId="77777777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189CAFC5" w14:textId="77777777" w:rsidR="008516CB" w:rsidRPr="007F0DA4" w:rsidRDefault="008516CB" w:rsidP="00D90C4E">
      <w:pPr>
        <w:shd w:val="clear" w:color="auto" w:fill="FFFFFF"/>
        <w:spacing w:after="0" w:line="240" w:lineRule="atLeast"/>
        <w:jc w:val="both"/>
        <w:rPr>
          <w:rFonts w:ascii="Verdana" w:hAnsi="Verdana"/>
          <w:b/>
          <w:bCs/>
          <w:color w:val="0E70A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II.</w:t>
      </w:r>
    </w:p>
    <w:p w14:paraId="4E0FDA34" w14:textId="77777777" w:rsidR="008516CB" w:rsidRPr="007F0DA4" w:rsidRDefault="008516CB" w:rsidP="00D90C4E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Background Literature</w:t>
      </w:r>
    </w:p>
    <w:p w14:paraId="5445F9C6" w14:textId="77777777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color w:val="70AD47" w:themeColor="accent6"/>
          <w:sz w:val="18"/>
          <w:szCs w:val="18"/>
          <w:shd w:val="clear" w:color="auto" w:fill="FFFFFF"/>
        </w:rPr>
      </w:pPr>
    </w:p>
    <w:p w14:paraId="65FA73E6" w14:textId="020AC7D1" w:rsidR="008516CB" w:rsidRPr="007F0DA4" w:rsidRDefault="008516CB" w:rsidP="007F0DA4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The authors agree that road</w:t>
      </w:r>
      <w:r w:rsidR="001015C4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mapping helps </w:t>
      </w:r>
      <w:r w:rsidR="001015C4" w:rsidRPr="007F0DA4">
        <w:rPr>
          <w:rFonts w:ascii="Georgia" w:hAnsi="Georgia"/>
          <w:sz w:val="18"/>
          <w:szCs w:val="18"/>
          <w:shd w:val="clear" w:color="auto" w:fill="FFFFFF"/>
        </w:rPr>
        <w:t>national challenges in technologies, products, applications, markets, and society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. </w:t>
      </w:r>
    </w:p>
    <w:p w14:paraId="543D2282" w14:textId="50F00E22" w:rsidR="008516CB" w:rsidRPr="007F0DA4" w:rsidRDefault="002B0331" w:rsidP="00D90C4E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The </w:t>
      </w:r>
      <w:r w:rsidR="003308CD" w:rsidRPr="007F0DA4">
        <w:rPr>
          <w:rFonts w:ascii="Georgia" w:hAnsi="Georgia"/>
          <w:sz w:val="18"/>
          <w:szCs w:val="18"/>
          <w:shd w:val="clear" w:color="auto" w:fill="FFFFFF"/>
        </w:rPr>
        <w:t>vital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element of road</w:t>
      </w:r>
      <w:r w:rsidR="00C94022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 xml:space="preserve">mapping is the time factor. </w:t>
      </w:r>
    </w:p>
    <w:p w14:paraId="6A31A1AE" w14:textId="77777777" w:rsidR="00F91BA1" w:rsidRPr="007F0DA4" w:rsidRDefault="00F91BA1" w:rsidP="00D90C4E">
      <w:pPr>
        <w:pBdr>
          <w:bottom w:val="single" w:sz="4" w:space="1" w:color="auto"/>
        </w:pBdr>
        <w:spacing w:after="0" w:line="240" w:lineRule="atLeast"/>
        <w:jc w:val="both"/>
        <w:rPr>
          <w:rFonts w:ascii="Georgia" w:hAnsi="Georgia"/>
          <w:color w:val="70AD47" w:themeColor="accent6"/>
          <w:sz w:val="18"/>
          <w:szCs w:val="18"/>
          <w:shd w:val="clear" w:color="auto" w:fill="FFFFFF"/>
        </w:rPr>
      </w:pPr>
    </w:p>
    <w:p w14:paraId="4861BAE7" w14:textId="77777777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123E8950" w14:textId="3AF9AD1D" w:rsidR="008516CB" w:rsidRPr="007F0DA4" w:rsidRDefault="008516CB" w:rsidP="00D90C4E">
      <w:pPr>
        <w:shd w:val="clear" w:color="auto" w:fill="FFFFFF"/>
        <w:spacing w:after="0" w:line="240" w:lineRule="atLeast"/>
        <w:jc w:val="both"/>
        <w:rPr>
          <w:rFonts w:ascii="Verdana" w:hAnsi="Verdana"/>
          <w:b/>
          <w:bCs/>
          <w:color w:val="0E70A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III.</w:t>
      </w:r>
    </w:p>
    <w:p w14:paraId="10AA2AC8" w14:textId="58A63898" w:rsidR="008516CB" w:rsidRPr="007F0DA4" w:rsidRDefault="008516CB" w:rsidP="007F0DA4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Foresight in Shaping the Technological Development Strategy of a Region</w:t>
      </w:r>
    </w:p>
    <w:p w14:paraId="3E177D24" w14:textId="38D42F64" w:rsidR="008516CB" w:rsidRPr="007F0DA4" w:rsidRDefault="008516CB" w:rsidP="007F0DA4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A combination of regional foresight with technology road</w:t>
      </w:r>
      <w:r w:rsidR="0067035C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>mapping would prove</w:t>
      </w:r>
      <w:r w:rsidR="0067035C" w:rsidRPr="007F0DA4">
        <w:rPr>
          <w:rFonts w:ascii="Georgia" w:hAnsi="Georgia"/>
          <w:sz w:val="18"/>
          <w:szCs w:val="18"/>
          <w:shd w:val="clear" w:color="auto" w:fill="FFFFFF"/>
        </w:rPr>
        <w:t xml:space="preserve"> valuable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on both scientific and policy levels. </w:t>
      </w:r>
    </w:p>
    <w:p w14:paraId="7AA56EFD" w14:textId="77777777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color w:val="333333"/>
          <w:sz w:val="18"/>
          <w:szCs w:val="18"/>
          <w:shd w:val="clear" w:color="auto" w:fill="FFFFFF"/>
        </w:rPr>
      </w:pPr>
    </w:p>
    <w:p w14:paraId="2628A0BA" w14:textId="77777777" w:rsidR="008516CB" w:rsidRPr="007F0DA4" w:rsidRDefault="008516CB" w:rsidP="00D90C4E">
      <w:pPr>
        <w:shd w:val="clear" w:color="auto" w:fill="FFFFFF"/>
        <w:spacing w:after="0" w:line="240" w:lineRule="atLeast"/>
        <w:jc w:val="both"/>
        <w:rPr>
          <w:rFonts w:ascii="Verdana" w:hAnsi="Verdana"/>
          <w:b/>
          <w:bCs/>
          <w:color w:val="0E70A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IV.</w:t>
      </w:r>
    </w:p>
    <w:p w14:paraId="7AD0CE68" w14:textId="544226BA" w:rsidR="00681B75" w:rsidRPr="00CC0C38" w:rsidRDefault="008516CB" w:rsidP="00CC0C38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 xml:space="preserve">"NT FOR </w:t>
      </w:r>
      <w:proofErr w:type="spellStart"/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Podlaskie</w:t>
      </w:r>
      <w:proofErr w:type="spellEnd"/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 xml:space="preserve"> 2020": Rationale and Methodology</w:t>
      </w:r>
    </w:p>
    <w:p w14:paraId="21A70F01" w14:textId="636FDE2E" w:rsidR="008516CB" w:rsidRPr="00CC0C38" w:rsidRDefault="008516CB" w:rsidP="00CC0C38">
      <w:pPr>
        <w:pStyle w:val="Heading3"/>
        <w:numPr>
          <w:ilvl w:val="0"/>
          <w:numId w:val="4"/>
        </w:numPr>
        <w:shd w:val="clear" w:color="auto" w:fill="FFFFFF"/>
        <w:spacing w:before="0" w:line="240" w:lineRule="atLeast"/>
        <w:ind w:left="0"/>
        <w:jc w:val="both"/>
        <w:rPr>
          <w:rFonts w:ascii="Georgia" w:hAnsi="Georgia"/>
          <w:color w:val="333333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Rationale, Scope, and Aims of the Project</w:t>
      </w:r>
    </w:p>
    <w:p w14:paraId="368DBD88" w14:textId="42D38380" w:rsidR="008516CB" w:rsidRPr="007F0DA4" w:rsidRDefault="00AB2F62" w:rsidP="00D22167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They g</w:t>
      </w:r>
      <w:r w:rsidR="0032790F">
        <w:rPr>
          <w:rFonts w:ascii="Georgia" w:hAnsi="Georgia"/>
          <w:sz w:val="18"/>
          <w:szCs w:val="18"/>
          <w:shd w:val="clear" w:color="auto" w:fill="FFFFFF"/>
        </w:rPr>
        <w:t>o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grant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>s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 xml:space="preserve"> from the EU Operational Program </w:t>
      </w:r>
      <w:r w:rsidR="009754B0" w:rsidRPr="007F0DA4">
        <w:rPr>
          <w:rFonts w:ascii="Georgia" w:hAnsi="Georgia"/>
          <w:sz w:val="18"/>
          <w:szCs w:val="18"/>
          <w:shd w:val="clear" w:color="auto" w:fill="FFFFFF"/>
        </w:rPr>
        <w:t xml:space="preserve">between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2007</w:t>
      </w:r>
      <w:r w:rsidR="009754B0" w:rsidRPr="007F0DA4">
        <w:rPr>
          <w:rFonts w:ascii="Georgia" w:hAnsi="Georgia"/>
          <w:sz w:val="18"/>
          <w:szCs w:val="18"/>
          <w:shd w:val="clear" w:color="auto" w:fill="FFFFFF"/>
        </w:rPr>
        <w:t xml:space="preserve"> to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2013</w:t>
      </w:r>
      <w:r w:rsidR="00D22167">
        <w:rPr>
          <w:rFonts w:ascii="Georgia" w:hAnsi="Georgia"/>
          <w:sz w:val="18"/>
          <w:szCs w:val="18"/>
          <w:shd w:val="clear" w:color="auto" w:fill="FFFFFF"/>
        </w:rPr>
        <w:t xml:space="preserve"> for </w:t>
      </w:r>
      <w:r w:rsidR="00B6634F">
        <w:rPr>
          <w:rFonts w:ascii="Georgia" w:hAnsi="Georgia"/>
          <w:sz w:val="18"/>
          <w:szCs w:val="18"/>
          <w:shd w:val="clear" w:color="auto" w:fill="FFFFFF"/>
        </w:rPr>
        <w:t xml:space="preserve">places where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 xml:space="preserve">traditional industries </w:t>
      </w:r>
      <w:r w:rsidR="00871245" w:rsidRPr="007F0DA4">
        <w:rPr>
          <w:rFonts w:ascii="Georgia" w:hAnsi="Georgia"/>
          <w:sz w:val="18"/>
          <w:szCs w:val="18"/>
          <w:shd w:val="clear" w:color="auto" w:fill="FFFFFF"/>
        </w:rPr>
        <w:t>couldn't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 xml:space="preserve"> develop. </w:t>
      </w:r>
    </w:p>
    <w:p w14:paraId="630A95F1" w14:textId="57908BFF" w:rsidR="008516CB" w:rsidRPr="007F0DA4" w:rsidRDefault="006E78ED" w:rsidP="00CC0C38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M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ore than 160 experts were involved in the project.</w:t>
      </w:r>
    </w:p>
    <w:p w14:paraId="4D0C15F0" w14:textId="77777777" w:rsidR="00CD2D96" w:rsidRPr="007F0DA4" w:rsidRDefault="00CD2D96" w:rsidP="00D90C4E">
      <w:pPr>
        <w:pBdr>
          <w:bottom w:val="single" w:sz="4" w:space="1" w:color="auto"/>
        </w:pBdr>
        <w:spacing w:after="0" w:line="240" w:lineRule="atLeast"/>
        <w:jc w:val="both"/>
        <w:rPr>
          <w:rFonts w:ascii="Georgia" w:hAnsi="Georgia"/>
          <w:color w:val="00B050"/>
          <w:sz w:val="18"/>
          <w:szCs w:val="18"/>
          <w:shd w:val="clear" w:color="auto" w:fill="FFFFFF"/>
        </w:rPr>
      </w:pPr>
    </w:p>
    <w:p w14:paraId="4C6720EA" w14:textId="3105E899" w:rsidR="008516CB" w:rsidRPr="00CC0C38" w:rsidRDefault="008516CB" w:rsidP="00CC0C38">
      <w:pPr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B. Research Methodology Implemented in the Project</w:t>
      </w:r>
    </w:p>
    <w:p w14:paraId="4AE4405F" w14:textId="25C33E4F" w:rsidR="008516CB" w:rsidRPr="007F0DA4" w:rsidRDefault="00DD32CA" w:rsidP="00CC0C38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>In this section</w:t>
      </w:r>
      <w:r w:rsidR="00F3785D" w:rsidRPr="007F0DA4">
        <w:rPr>
          <w:rFonts w:ascii="Georgia" w:hAnsi="Georgia"/>
          <w:sz w:val="18"/>
          <w:szCs w:val="18"/>
          <w:shd w:val="clear" w:color="auto" w:fill="FFFFFF"/>
        </w:rPr>
        <w:t>, t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o include road</w:t>
      </w:r>
      <w:r w:rsidR="009B1B86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8516CB" w:rsidRPr="007F0DA4">
        <w:rPr>
          <w:rFonts w:ascii="Georgia" w:hAnsi="Georgia"/>
          <w:sz w:val="18"/>
          <w:szCs w:val="18"/>
          <w:shd w:val="clear" w:color="auto" w:fill="FFFFFF"/>
        </w:rPr>
        <w:t>mapping in the research process, we need to demonstrate the interrelationship between resources, R&amp;D, and market</w:t>
      </w:r>
    </w:p>
    <w:p w14:paraId="7ACDDA24" w14:textId="684B2C5E" w:rsidR="006E49DD" w:rsidRPr="007F0DA4" w:rsidRDefault="00DE7985" w:rsidP="00CC0C38">
      <w:pP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They used </w:t>
      </w:r>
      <w:r w:rsidR="00F8134A" w:rsidRPr="007F0DA4">
        <w:rPr>
          <w:rFonts w:ascii="Georgia" w:hAnsi="Georgia"/>
          <w:sz w:val="18"/>
          <w:szCs w:val="18"/>
          <w:shd w:val="clear" w:color="auto" w:fill="FFFFFF"/>
        </w:rPr>
        <w:t>nine</w:t>
      </w:r>
      <w:r w:rsidR="00BD4D3E" w:rsidRPr="007F0DA4">
        <w:rPr>
          <w:rFonts w:ascii="Georgia" w:hAnsi="Georgia"/>
          <w:sz w:val="18"/>
          <w:szCs w:val="18"/>
          <w:shd w:val="clear" w:color="auto" w:fill="FFFFFF"/>
        </w:rPr>
        <w:t xml:space="preserve"> methods</w:t>
      </w:r>
      <w:r w:rsidR="00F8134A" w:rsidRPr="007F0DA4">
        <w:rPr>
          <w:rFonts w:ascii="Georgia" w:hAnsi="Georgia"/>
          <w:sz w:val="18"/>
          <w:szCs w:val="18"/>
          <w:shd w:val="clear" w:color="auto" w:fill="FFFFFF"/>
        </w:rPr>
        <w:t>,</w:t>
      </w:r>
      <w:r w:rsidR="00BD4D3E"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F31113" w:rsidRPr="007F0DA4">
        <w:rPr>
          <w:rFonts w:ascii="Georgia" w:hAnsi="Georgia"/>
          <w:sz w:val="18"/>
          <w:szCs w:val="18"/>
          <w:shd w:val="clear" w:color="auto" w:fill="FFFFFF"/>
        </w:rPr>
        <w:t>such as</w:t>
      </w:r>
      <w:r w:rsidR="00BD4D3E" w:rsidRPr="007F0DA4">
        <w:rPr>
          <w:rFonts w:ascii="Georgia" w:hAnsi="Georgia"/>
          <w:sz w:val="18"/>
          <w:szCs w:val="18"/>
          <w:shd w:val="clear" w:color="auto" w:fill="FFFFFF"/>
        </w:rPr>
        <w:t xml:space="preserve"> SWOT</w:t>
      </w:r>
      <w:r w:rsidR="00F8134A" w:rsidRPr="007F0DA4">
        <w:rPr>
          <w:rFonts w:ascii="Georgia" w:hAnsi="Georgia"/>
          <w:sz w:val="18"/>
          <w:szCs w:val="18"/>
          <w:shd w:val="clear" w:color="auto" w:fill="FFFFFF"/>
        </w:rPr>
        <w:t xml:space="preserve"> and</w:t>
      </w:r>
      <w:r w:rsidR="00BD4D3E" w:rsidRPr="007F0DA4">
        <w:rPr>
          <w:rFonts w:ascii="Georgia" w:hAnsi="Georgia"/>
          <w:sz w:val="18"/>
          <w:szCs w:val="18"/>
          <w:shd w:val="clear" w:color="auto" w:fill="FFFFFF"/>
        </w:rPr>
        <w:t xml:space="preserve"> brainstorming</w:t>
      </w:r>
      <w:r w:rsidR="00F8134A" w:rsidRPr="007F0DA4">
        <w:rPr>
          <w:rFonts w:ascii="Georgia" w:hAnsi="Georgia"/>
          <w:sz w:val="18"/>
          <w:szCs w:val="18"/>
          <w:shd w:val="clear" w:color="auto" w:fill="FFFFFF"/>
        </w:rPr>
        <w:t xml:space="preserve">. </w:t>
      </w:r>
    </w:p>
    <w:p w14:paraId="2F0524C4" w14:textId="674C7267" w:rsidR="008516CB" w:rsidRPr="007F0DA4" w:rsidRDefault="008516CB" w:rsidP="00D90C4E">
      <w:pPr>
        <w:spacing w:after="0" w:line="240" w:lineRule="atLeast"/>
        <w:jc w:val="both"/>
        <w:rPr>
          <w:rFonts w:ascii="Georgia" w:hAnsi="Georgia"/>
          <w:sz w:val="18"/>
          <w:szCs w:val="18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Used methods are shown in fig. 2. </w:t>
      </w:r>
    </w:p>
    <w:p w14:paraId="4C621FBE" w14:textId="71FA9F92" w:rsidR="008516CB" w:rsidRPr="007F0DA4" w:rsidRDefault="008516CB" w:rsidP="00D90C4E">
      <w:pPr>
        <w:pBdr>
          <w:bottom w:val="single" w:sz="4" w:space="1" w:color="auto"/>
        </w:pBdr>
        <w:spacing w:after="0" w:line="240" w:lineRule="atLeast"/>
        <w:jc w:val="both"/>
        <w:rPr>
          <w:noProof/>
          <w:sz w:val="18"/>
          <w:szCs w:val="18"/>
        </w:rPr>
      </w:pPr>
    </w:p>
    <w:p w14:paraId="2E75A93F" w14:textId="77777777" w:rsidR="008516CB" w:rsidRPr="007F0DA4" w:rsidRDefault="008516CB" w:rsidP="00D90C4E">
      <w:pPr>
        <w:spacing w:after="0" w:line="240" w:lineRule="atLeast"/>
        <w:jc w:val="both"/>
        <w:rPr>
          <w:rFonts w:ascii="Verdana" w:hAnsi="Verdana"/>
          <w:b/>
          <w:bCs/>
          <w:color w:val="0E70A0"/>
          <w:sz w:val="18"/>
          <w:szCs w:val="18"/>
        </w:rPr>
      </w:pPr>
    </w:p>
    <w:p w14:paraId="6B689975" w14:textId="4E3632C6" w:rsidR="008516CB" w:rsidRPr="007F0DA4" w:rsidRDefault="008516CB" w:rsidP="00D90C4E">
      <w:pPr>
        <w:spacing w:after="0" w:line="240" w:lineRule="atLeast"/>
        <w:jc w:val="both"/>
        <w:rPr>
          <w:noProof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V.</w:t>
      </w:r>
    </w:p>
    <w:p w14:paraId="2FAD3B4C" w14:textId="7B247D76" w:rsidR="008516CB" w:rsidRPr="00CC0C38" w:rsidRDefault="008516CB" w:rsidP="00CC0C38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Methodological Framework for Roadmap Development</w:t>
      </w:r>
    </w:p>
    <w:p w14:paraId="3BC3F0FB" w14:textId="4E6C33B6" w:rsidR="008516CB" w:rsidRPr="00CC0C38" w:rsidRDefault="008516CB" w:rsidP="00CC0C38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Technology Mapping</w:t>
      </w:r>
    </w:p>
    <w:p w14:paraId="281AAA79" w14:textId="66058479" w:rsidR="008516CB" w:rsidRPr="007F0DA4" w:rsidRDefault="008516CB" w:rsidP="00D90C4E">
      <w:pPr>
        <w:pBdr>
          <w:bottom w:val="single" w:sz="4" w:space="1" w:color="auto"/>
        </w:pBdr>
        <w:spacing w:after="0" w:line="240" w:lineRule="atLeast"/>
        <w:jc w:val="both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The stages of technology mapping </w:t>
      </w:r>
      <w:proofErr w:type="gramStart"/>
      <w:r w:rsidRPr="007F0DA4">
        <w:rPr>
          <w:rFonts w:ascii="Georgia" w:hAnsi="Georgia"/>
          <w:sz w:val="18"/>
          <w:szCs w:val="18"/>
          <w:shd w:val="clear" w:color="auto" w:fill="FFFFFF"/>
        </w:rPr>
        <w:t>were:</w:t>
      </w:r>
      <w:proofErr w:type="gramEnd"/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literature studies, technology matrix, collecting information, selecting data, analyzing the links, and showing them in graphs.</w:t>
      </w:r>
    </w:p>
    <w:p w14:paraId="37708E54" w14:textId="77777777" w:rsidR="00A90194" w:rsidRPr="007F0DA4" w:rsidRDefault="00A90194" w:rsidP="00D90C4E">
      <w:pPr>
        <w:pBdr>
          <w:bottom w:val="single" w:sz="4" w:space="1" w:color="auto"/>
        </w:pBdr>
        <w:spacing w:after="0" w:line="240" w:lineRule="atLeast"/>
        <w:rPr>
          <w:rFonts w:ascii="Georgia" w:hAnsi="Georgia"/>
          <w:color w:val="00B050"/>
          <w:sz w:val="18"/>
          <w:szCs w:val="18"/>
          <w:shd w:val="clear" w:color="auto" w:fill="FFFFFF"/>
        </w:rPr>
      </w:pPr>
    </w:p>
    <w:p w14:paraId="4E10713D" w14:textId="77777777" w:rsidR="00473C36" w:rsidRDefault="00473C36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066BDF91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241241C3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0070DA4A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47C44410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305AEA29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6AB3EE56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2718097B" w14:textId="787217A5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4C021658" w14:textId="071FFC1F" w:rsidR="00E87F7B" w:rsidRDefault="00E87F7B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7117F60B" w14:textId="77777777" w:rsidR="00E87F7B" w:rsidRDefault="00E87F7B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3DA46E0A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6C859604" w14:textId="77777777" w:rsidR="00A67949" w:rsidRDefault="00A67949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</w:p>
    <w:p w14:paraId="1305C5E9" w14:textId="5BD90EE3" w:rsidR="008516CB" w:rsidRPr="007F0DA4" w:rsidRDefault="008516CB" w:rsidP="00D90C4E">
      <w:pPr>
        <w:shd w:val="clear" w:color="auto" w:fill="FFFFFF"/>
        <w:spacing w:after="0" w:line="240" w:lineRule="atLeast"/>
        <w:rPr>
          <w:rFonts w:ascii="Georgia" w:hAnsi="Georgia"/>
          <w:color w:val="00B05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VI.</w:t>
      </w:r>
    </w:p>
    <w:p w14:paraId="5F863603" w14:textId="77777777" w:rsidR="008516CB" w:rsidRPr="007F0DA4" w:rsidRDefault="008516CB" w:rsidP="00D90C4E">
      <w:pPr>
        <w:pStyle w:val="Heading2"/>
        <w:shd w:val="clear" w:color="auto" w:fill="FFFFFF"/>
        <w:spacing w:before="0" w:line="240" w:lineRule="atLeast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lastRenderedPageBreak/>
        <w:t>Results</w:t>
      </w:r>
    </w:p>
    <w:p w14:paraId="4B687D28" w14:textId="77777777" w:rsidR="008516CB" w:rsidRPr="007F0DA4" w:rsidRDefault="008516CB" w:rsidP="00D90C4E">
      <w:pPr>
        <w:pStyle w:val="Heading2"/>
        <w:shd w:val="clear" w:color="auto" w:fill="FFFFFF"/>
        <w:spacing w:before="0" w:line="240" w:lineRule="atLeast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</w:p>
    <w:p w14:paraId="029631DD" w14:textId="03A56C69" w:rsidR="008516CB" w:rsidRPr="007F0DA4" w:rsidRDefault="008516CB" w:rsidP="00D90C4E">
      <w:pPr>
        <w:pStyle w:val="Heading2"/>
        <w:numPr>
          <w:ilvl w:val="0"/>
          <w:numId w:val="5"/>
        </w:numPr>
        <w:shd w:val="clear" w:color="auto" w:fill="FFFFFF"/>
        <w:spacing w:before="0" w:line="240" w:lineRule="atLeast"/>
        <w:ind w:left="0"/>
        <w:jc w:val="both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Key Nanotechnologies</w:t>
      </w:r>
    </w:p>
    <w:p w14:paraId="7F1412BF" w14:textId="5DF0B022" w:rsidR="008516CB" w:rsidRPr="007F0DA4" w:rsidRDefault="008516CB" w:rsidP="00D90C4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Georgia" w:hAnsi="Georgia"/>
          <w:sz w:val="18"/>
          <w:szCs w:val="18"/>
          <w:shd w:val="clear" w:color="auto" w:fill="FFFFFF"/>
        </w:rPr>
      </w:pP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The final technologies </w:t>
      </w:r>
      <w:proofErr w:type="gramStart"/>
      <w:r w:rsidR="00A67949" w:rsidRPr="007F0DA4">
        <w:rPr>
          <w:rFonts w:ascii="Georgia" w:hAnsi="Georgia"/>
          <w:sz w:val="18"/>
          <w:szCs w:val="18"/>
          <w:shd w:val="clear" w:color="auto" w:fill="FFFFFF"/>
        </w:rPr>
        <w:t>were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="008D43B8">
        <w:rPr>
          <w:rFonts w:ascii="Georgia" w:hAnsi="Georgia"/>
          <w:sz w:val="18"/>
          <w:szCs w:val="18"/>
          <w:shd w:val="clear" w:color="auto" w:fill="FFFFFF"/>
        </w:rPr>
        <w:t>:</w:t>
      </w:r>
      <w:proofErr w:type="gramEnd"/>
      <w:r w:rsidR="008D43B8">
        <w:rPr>
          <w:rFonts w:ascii="Georgia" w:hAnsi="Georgia"/>
          <w:sz w:val="18"/>
          <w:szCs w:val="18"/>
          <w:shd w:val="clear" w:color="auto" w:fill="FFFFFF"/>
        </w:rPr>
        <w:t xml:space="preserve"> 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NT for cutting tools, dental filling composite, medical equipment, biomedical applications, dressings, plastics processing, and Nano-structuring technologies. </w:t>
      </w:r>
    </w:p>
    <w:p w14:paraId="44774C18" w14:textId="77777777" w:rsidR="008516CB" w:rsidRPr="007F0DA4" w:rsidRDefault="008516CB" w:rsidP="00D90C4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Georgia" w:hAnsi="Georgia"/>
          <w:color w:val="333333"/>
          <w:sz w:val="18"/>
          <w:szCs w:val="18"/>
        </w:rPr>
      </w:pPr>
    </w:p>
    <w:p w14:paraId="2FAF154D" w14:textId="77777777" w:rsidR="008516CB" w:rsidRPr="007F0DA4" w:rsidRDefault="008516CB" w:rsidP="00D90C4E">
      <w:pPr>
        <w:pStyle w:val="Heading3"/>
        <w:shd w:val="clear" w:color="auto" w:fill="FFFFFF"/>
        <w:spacing w:before="0" w:line="240" w:lineRule="atLeast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C. Scenarios for Nanotechnology Development</w:t>
      </w:r>
    </w:p>
    <w:p w14:paraId="6AD109FB" w14:textId="5833BF20" w:rsidR="008516CB" w:rsidRPr="007F0DA4" w:rsidRDefault="008516CB" w:rsidP="00D90C4E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="Georgia" w:hAnsi="Georgia"/>
          <w:sz w:val="18"/>
          <w:szCs w:val="18"/>
        </w:rPr>
      </w:pPr>
      <w:r w:rsidRPr="007F0DA4">
        <w:rPr>
          <w:rFonts w:ascii="Georgia" w:hAnsi="Georgia"/>
          <w:sz w:val="18"/>
          <w:szCs w:val="18"/>
        </w:rPr>
        <w:t>65 factors were formulated</w:t>
      </w:r>
      <w:r w:rsidR="009C4C3C" w:rsidRPr="007F0DA4">
        <w:rPr>
          <w:rFonts w:ascii="Georgia" w:hAnsi="Georgia"/>
          <w:sz w:val="18"/>
          <w:szCs w:val="18"/>
        </w:rPr>
        <w:t xml:space="preserve"> in four scenarios</w:t>
      </w:r>
      <w:r w:rsidRPr="007F0DA4">
        <w:rPr>
          <w:rFonts w:ascii="Georgia" w:hAnsi="Georgia"/>
          <w:sz w:val="18"/>
          <w:szCs w:val="18"/>
        </w:rPr>
        <w:t>. Also, R&amp;D potential and collaboration in academia, business, and administration are NT driving forces.</w:t>
      </w:r>
    </w:p>
    <w:p w14:paraId="025BB820" w14:textId="77777777" w:rsidR="008516CB" w:rsidRPr="007F0DA4" w:rsidRDefault="008516CB" w:rsidP="00D90C4E">
      <w:pPr>
        <w:spacing w:after="0" w:line="240" w:lineRule="atLeast"/>
        <w:rPr>
          <w:rFonts w:ascii="Georgia" w:eastAsia="Times New Roman" w:hAnsi="Georgia" w:cs="Times New Roman"/>
          <w:noProof/>
          <w:color w:val="333333"/>
          <w:sz w:val="18"/>
          <w:szCs w:val="18"/>
        </w:rPr>
      </w:pPr>
    </w:p>
    <w:p w14:paraId="5F4FD294" w14:textId="17577356" w:rsidR="008516CB" w:rsidRPr="007F0DA4" w:rsidRDefault="008516CB" w:rsidP="00D90C4E">
      <w:pPr>
        <w:pStyle w:val="Heading3"/>
        <w:shd w:val="clear" w:color="auto" w:fill="FFFFFF"/>
        <w:spacing w:before="0" w:line="240" w:lineRule="atLeast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D. Roadmaps</w:t>
      </w:r>
    </w:p>
    <w:p w14:paraId="0D278973" w14:textId="1C39E2C3" w:rsidR="008516CB" w:rsidRPr="007F0DA4" w:rsidRDefault="008516CB" w:rsidP="00D90C4E">
      <w:pPr>
        <w:spacing w:after="0" w:line="240" w:lineRule="atLeast"/>
        <w:rPr>
          <w:rFonts w:ascii="Georgia" w:hAnsi="Georgia"/>
          <w:noProof/>
          <w:sz w:val="18"/>
          <w:szCs w:val="18"/>
          <w:shd w:val="clear" w:color="auto" w:fill="FFFFFF"/>
        </w:rPr>
      </w:pPr>
      <w:r w:rsidRPr="007F0DA4">
        <w:rPr>
          <w:rFonts w:ascii="Georgia" w:eastAsia="Times New Roman" w:hAnsi="Georgia" w:cs="Times New Roman"/>
          <w:sz w:val="18"/>
          <w:szCs w:val="18"/>
        </w:rPr>
        <w:t>The financial outlay has been estimated at 1.5 to 15 million Dollars.</w:t>
      </w:r>
      <w:r w:rsidRPr="007F0DA4">
        <w:rPr>
          <w:rFonts w:ascii="Georgia" w:hAnsi="Georgia"/>
          <w:sz w:val="18"/>
          <w:szCs w:val="18"/>
          <w:shd w:val="clear" w:color="auto" w:fill="FFFFFF"/>
        </w:rPr>
        <w:t xml:space="preserve"> </w:t>
      </w:r>
    </w:p>
    <w:p w14:paraId="40D0C8DC" w14:textId="77777777" w:rsidR="008516CB" w:rsidRPr="007F0DA4" w:rsidRDefault="008516CB" w:rsidP="00D90C4E">
      <w:pPr>
        <w:pBdr>
          <w:bottom w:val="single" w:sz="4" w:space="1" w:color="auto"/>
        </w:pBdr>
        <w:spacing w:after="0" w:line="240" w:lineRule="atLeast"/>
        <w:rPr>
          <w:rFonts w:ascii="Georgia" w:eastAsia="Times New Roman" w:hAnsi="Georgia" w:cs="Times New Roman"/>
          <w:sz w:val="18"/>
          <w:szCs w:val="18"/>
        </w:rPr>
      </w:pPr>
    </w:p>
    <w:p w14:paraId="24B66FB9" w14:textId="77777777" w:rsidR="008516CB" w:rsidRPr="007F0DA4" w:rsidRDefault="008516CB" w:rsidP="00D90C4E">
      <w:pPr>
        <w:pStyle w:val="Heading3"/>
        <w:shd w:val="clear" w:color="auto" w:fill="FFFFFF"/>
        <w:spacing w:before="0" w:line="240" w:lineRule="atLeast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 xml:space="preserve">E. Strategy of Nanotechnology </w:t>
      </w:r>
      <w:bookmarkStart w:id="0" w:name="_Hlk108642414"/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Development</w:t>
      </w:r>
      <w:bookmarkEnd w:id="0"/>
    </w:p>
    <w:p w14:paraId="0F19E68A" w14:textId="0D663F52" w:rsidR="008516CB" w:rsidRPr="007F0DA4" w:rsidRDefault="00957325" w:rsidP="00D90C4E">
      <w:pPr>
        <w:spacing w:after="0" w:line="240" w:lineRule="atLeast"/>
        <w:rPr>
          <w:rFonts w:ascii="Georgia" w:eastAsia="Times New Roman" w:hAnsi="Georgia" w:cs="Times New Roman"/>
          <w:sz w:val="18"/>
          <w:szCs w:val="18"/>
        </w:rPr>
      </w:pPr>
      <w:r w:rsidRPr="007F0DA4">
        <w:rPr>
          <w:rFonts w:ascii="Georgia" w:eastAsia="Times New Roman" w:hAnsi="Georgia" w:cs="Times New Roman"/>
          <w:sz w:val="18"/>
          <w:szCs w:val="18"/>
        </w:rPr>
        <w:t>As you can see</w:t>
      </w:r>
      <w:r w:rsidR="00D631F1" w:rsidRPr="007F0DA4">
        <w:rPr>
          <w:rFonts w:ascii="Georgia" w:eastAsia="Times New Roman" w:hAnsi="Georgia" w:cs="Times New Roman"/>
          <w:sz w:val="18"/>
          <w:szCs w:val="18"/>
        </w:rPr>
        <w:t xml:space="preserve"> on the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 xml:space="preserve"> map</w:t>
      </w:r>
      <w:r w:rsidR="00D631F1" w:rsidRPr="007F0DA4">
        <w:rPr>
          <w:rFonts w:ascii="Georgia" w:eastAsia="Times New Roman" w:hAnsi="Georgia" w:cs="Times New Roman"/>
          <w:sz w:val="18"/>
          <w:szCs w:val="18"/>
        </w:rPr>
        <w:t>, the development strategy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 xml:space="preserve"> is divided into four parts</w:t>
      </w:r>
      <w:r w:rsidR="00D631F1" w:rsidRPr="007F0DA4">
        <w:rPr>
          <w:rFonts w:ascii="Georgia" w:eastAsia="Times New Roman" w:hAnsi="Georgia" w:cs="Times New Roman"/>
          <w:sz w:val="18"/>
          <w:szCs w:val="18"/>
        </w:rPr>
        <w:t xml:space="preserve">: 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>Research, nanotechnology, commercialization, and education.</w:t>
      </w:r>
    </w:p>
    <w:p w14:paraId="2697F03A" w14:textId="77777777" w:rsidR="00F21523" w:rsidRPr="007F0DA4" w:rsidRDefault="00F21523" w:rsidP="00D90C4E">
      <w:pPr>
        <w:pBdr>
          <w:bottom w:val="single" w:sz="4" w:space="1" w:color="auto"/>
        </w:pBdr>
        <w:spacing w:after="0" w:line="240" w:lineRule="atLeast"/>
        <w:rPr>
          <w:rFonts w:ascii="Georgia" w:eastAsia="Times New Roman" w:hAnsi="Georgia" w:cs="Times New Roman"/>
          <w:sz w:val="18"/>
          <w:szCs w:val="18"/>
        </w:rPr>
      </w:pPr>
    </w:p>
    <w:p w14:paraId="02052EB4" w14:textId="176F9F68" w:rsidR="008516CB" w:rsidRPr="007F0DA4" w:rsidRDefault="008516CB" w:rsidP="00D90C4E">
      <w:pPr>
        <w:shd w:val="clear" w:color="auto" w:fill="FFFFFF"/>
        <w:spacing w:after="0" w:line="240" w:lineRule="atLeast"/>
        <w:rPr>
          <w:rFonts w:ascii="Verdana" w:hAnsi="Verdana"/>
          <w:b/>
          <w:bCs/>
          <w:color w:val="0E70A0"/>
          <w:sz w:val="18"/>
          <w:szCs w:val="18"/>
        </w:rPr>
      </w:pPr>
      <w:r w:rsidRPr="007F0DA4">
        <w:rPr>
          <w:rFonts w:ascii="Verdana" w:hAnsi="Verdana"/>
          <w:b/>
          <w:bCs/>
          <w:color w:val="0E70A0"/>
          <w:sz w:val="18"/>
          <w:szCs w:val="18"/>
        </w:rPr>
        <w:t>SECTION VII.</w:t>
      </w:r>
    </w:p>
    <w:p w14:paraId="1BDD5801" w14:textId="77777777" w:rsidR="008516CB" w:rsidRPr="007F0DA4" w:rsidRDefault="008516CB" w:rsidP="00D90C4E">
      <w:pPr>
        <w:pStyle w:val="Heading3"/>
        <w:shd w:val="clear" w:color="auto" w:fill="FFFFFF"/>
        <w:spacing w:before="0" w:line="240" w:lineRule="atLeast"/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</w:pPr>
      <w:r w:rsidRPr="007F0DA4">
        <w:rPr>
          <w:rFonts w:ascii="Verdana" w:eastAsiaTheme="minorHAnsi" w:hAnsi="Verdana" w:cstheme="minorBidi"/>
          <w:b/>
          <w:bCs/>
          <w:color w:val="0E70A0"/>
          <w:sz w:val="18"/>
          <w:szCs w:val="18"/>
        </w:rPr>
        <w:t>Discussion</w:t>
      </w:r>
    </w:p>
    <w:p w14:paraId="4828FC2E" w14:textId="735D725B" w:rsidR="000A5409" w:rsidRPr="007F0DA4" w:rsidRDefault="0033522C" w:rsidP="00D90C4E">
      <w:pPr>
        <w:spacing w:after="0" w:line="240" w:lineRule="atLeast"/>
        <w:rPr>
          <w:rFonts w:ascii="Georgia" w:eastAsia="Times New Roman" w:hAnsi="Georgia" w:cs="Times New Roman"/>
          <w:b/>
          <w:bCs/>
          <w:sz w:val="18"/>
          <w:szCs w:val="18"/>
        </w:rPr>
      </w:pPr>
      <w:r w:rsidRPr="007F0DA4">
        <w:rPr>
          <w:rFonts w:ascii="Georgia" w:eastAsia="Times New Roman" w:hAnsi="Georgia" w:cs="Times New Roman"/>
          <w:sz w:val="18"/>
          <w:szCs w:val="18"/>
        </w:rPr>
        <w:t>In conclusion,</w:t>
      </w:r>
      <w:r w:rsidR="005E634F" w:rsidRPr="007F0DA4">
        <w:rPr>
          <w:rFonts w:ascii="Georgia" w:eastAsia="Times New Roman" w:hAnsi="Georgia" w:cs="Times New Roman"/>
          <w:sz w:val="18"/>
          <w:szCs w:val="18"/>
        </w:rPr>
        <w:t xml:space="preserve"> th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 xml:space="preserve">ey point to two factors for </w:t>
      </w:r>
      <w:r w:rsidR="00676817" w:rsidRPr="007F0DA4">
        <w:rPr>
          <w:rFonts w:ascii="Georgia" w:eastAsia="Times New Roman" w:hAnsi="Georgia" w:cs="Times New Roman"/>
          <w:sz w:val="18"/>
          <w:szCs w:val="18"/>
        </w:rPr>
        <w:t>developing nanotechnologies: h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 xml:space="preserve">igh R&amp;D potential and networks. And they can invest </w:t>
      </w:r>
      <w:r w:rsidR="002855AB" w:rsidRPr="007F0DA4">
        <w:rPr>
          <w:rFonts w:ascii="Georgia" w:eastAsia="Times New Roman" w:hAnsi="Georgia" w:cs="Times New Roman"/>
          <w:sz w:val="18"/>
          <w:szCs w:val="18"/>
        </w:rPr>
        <w:t>i</w:t>
      </w:r>
      <w:r w:rsidR="008516CB" w:rsidRPr="007F0DA4">
        <w:rPr>
          <w:rFonts w:ascii="Georgia" w:eastAsia="Times New Roman" w:hAnsi="Georgia" w:cs="Times New Roman"/>
          <w:sz w:val="18"/>
          <w:szCs w:val="18"/>
        </w:rPr>
        <w:t>n innovation in universities, local government, and civil society.</w:t>
      </w:r>
    </w:p>
    <w:sectPr w:rsidR="000A5409" w:rsidRPr="007F0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618"/>
    <w:multiLevelType w:val="hybridMultilevel"/>
    <w:tmpl w:val="0EBA5D40"/>
    <w:lvl w:ilvl="0" w:tplc="EDFEBBB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952E5"/>
    <w:multiLevelType w:val="hybridMultilevel"/>
    <w:tmpl w:val="433E1DE6"/>
    <w:lvl w:ilvl="0" w:tplc="2AFA0D4A">
      <w:start w:val="1"/>
      <w:numFmt w:val="upperLetter"/>
      <w:lvlText w:val="%1."/>
      <w:lvlJc w:val="left"/>
      <w:pPr>
        <w:ind w:left="720" w:hanging="360"/>
      </w:pPr>
      <w:rPr>
        <w:rFonts w:ascii="Verdana" w:eastAsiaTheme="minorHAnsi" w:hAnsi="Verdana" w:cstheme="minorBidi" w:hint="default"/>
        <w:b/>
        <w:color w:val="0E70A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6D2F"/>
    <w:multiLevelType w:val="hybridMultilevel"/>
    <w:tmpl w:val="0B0407F8"/>
    <w:lvl w:ilvl="0" w:tplc="A024F7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8500B"/>
    <w:multiLevelType w:val="hybridMultilevel"/>
    <w:tmpl w:val="8AC2D654"/>
    <w:lvl w:ilvl="0" w:tplc="BE2E5F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2557C"/>
    <w:multiLevelType w:val="multilevel"/>
    <w:tmpl w:val="9DB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2942">
    <w:abstractNumId w:val="4"/>
  </w:num>
  <w:num w:numId="2" w16cid:durableId="753088642">
    <w:abstractNumId w:val="0"/>
  </w:num>
  <w:num w:numId="3" w16cid:durableId="69617470">
    <w:abstractNumId w:val="2"/>
  </w:num>
  <w:num w:numId="4" w16cid:durableId="708183520">
    <w:abstractNumId w:val="1"/>
  </w:num>
  <w:num w:numId="5" w16cid:durableId="1681469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2NzM3NTIxNzYxMDdW0lEKTi0uzszPAykwqwUAtkbs6SwAAAA="/>
  </w:docVars>
  <w:rsids>
    <w:rsidRoot w:val="008516CB"/>
    <w:rsid w:val="000123CA"/>
    <w:rsid w:val="00024D36"/>
    <w:rsid w:val="00052357"/>
    <w:rsid w:val="000848AD"/>
    <w:rsid w:val="000A5409"/>
    <w:rsid w:val="000B7B60"/>
    <w:rsid w:val="000F234A"/>
    <w:rsid w:val="001015C4"/>
    <w:rsid w:val="001365D7"/>
    <w:rsid w:val="001716AA"/>
    <w:rsid w:val="00182DE0"/>
    <w:rsid w:val="00190C36"/>
    <w:rsid w:val="001A0491"/>
    <w:rsid w:val="001F1FB9"/>
    <w:rsid w:val="00243390"/>
    <w:rsid w:val="00262199"/>
    <w:rsid w:val="002855AB"/>
    <w:rsid w:val="002A191A"/>
    <w:rsid w:val="002B0331"/>
    <w:rsid w:val="002E78CA"/>
    <w:rsid w:val="002F4BDF"/>
    <w:rsid w:val="00306F48"/>
    <w:rsid w:val="00312584"/>
    <w:rsid w:val="0032790F"/>
    <w:rsid w:val="003308CD"/>
    <w:rsid w:val="00330A5E"/>
    <w:rsid w:val="0033522C"/>
    <w:rsid w:val="00372CC4"/>
    <w:rsid w:val="003C51EF"/>
    <w:rsid w:val="003D2AEC"/>
    <w:rsid w:val="003E2C18"/>
    <w:rsid w:val="00427536"/>
    <w:rsid w:val="0043096A"/>
    <w:rsid w:val="0043369C"/>
    <w:rsid w:val="00453335"/>
    <w:rsid w:val="00473C36"/>
    <w:rsid w:val="00494387"/>
    <w:rsid w:val="004A7911"/>
    <w:rsid w:val="004B3915"/>
    <w:rsid w:val="004B6447"/>
    <w:rsid w:val="00502614"/>
    <w:rsid w:val="005459ED"/>
    <w:rsid w:val="005E634F"/>
    <w:rsid w:val="00607F6F"/>
    <w:rsid w:val="006234D0"/>
    <w:rsid w:val="00646A85"/>
    <w:rsid w:val="0067035C"/>
    <w:rsid w:val="006765AE"/>
    <w:rsid w:val="00676817"/>
    <w:rsid w:val="00681B75"/>
    <w:rsid w:val="006904AD"/>
    <w:rsid w:val="00690FBB"/>
    <w:rsid w:val="006B5A5C"/>
    <w:rsid w:val="006E49DD"/>
    <w:rsid w:val="006E78ED"/>
    <w:rsid w:val="00711794"/>
    <w:rsid w:val="00722FA5"/>
    <w:rsid w:val="0079008A"/>
    <w:rsid w:val="007E6E77"/>
    <w:rsid w:val="007F0DA4"/>
    <w:rsid w:val="00805A67"/>
    <w:rsid w:val="008516CB"/>
    <w:rsid w:val="00871245"/>
    <w:rsid w:val="008D43B8"/>
    <w:rsid w:val="00906041"/>
    <w:rsid w:val="00915A06"/>
    <w:rsid w:val="00957325"/>
    <w:rsid w:val="00965D79"/>
    <w:rsid w:val="009754B0"/>
    <w:rsid w:val="00976497"/>
    <w:rsid w:val="009B1B86"/>
    <w:rsid w:val="009C4C3C"/>
    <w:rsid w:val="009D0B26"/>
    <w:rsid w:val="009E6456"/>
    <w:rsid w:val="009F1B6C"/>
    <w:rsid w:val="009F4D03"/>
    <w:rsid w:val="00A01F29"/>
    <w:rsid w:val="00A15B08"/>
    <w:rsid w:val="00A21E69"/>
    <w:rsid w:val="00A240D6"/>
    <w:rsid w:val="00A67949"/>
    <w:rsid w:val="00A90194"/>
    <w:rsid w:val="00AB2F62"/>
    <w:rsid w:val="00AE42A9"/>
    <w:rsid w:val="00B6634F"/>
    <w:rsid w:val="00B736DB"/>
    <w:rsid w:val="00BD4D3E"/>
    <w:rsid w:val="00BF75CA"/>
    <w:rsid w:val="00C2362A"/>
    <w:rsid w:val="00C94022"/>
    <w:rsid w:val="00CC0C38"/>
    <w:rsid w:val="00CC4F08"/>
    <w:rsid w:val="00CD2D96"/>
    <w:rsid w:val="00CD2E91"/>
    <w:rsid w:val="00CF273B"/>
    <w:rsid w:val="00CF47C8"/>
    <w:rsid w:val="00D0766E"/>
    <w:rsid w:val="00D12CB8"/>
    <w:rsid w:val="00D22167"/>
    <w:rsid w:val="00D41466"/>
    <w:rsid w:val="00D6010E"/>
    <w:rsid w:val="00D631F1"/>
    <w:rsid w:val="00D8117D"/>
    <w:rsid w:val="00D8747A"/>
    <w:rsid w:val="00D90C4E"/>
    <w:rsid w:val="00DA09BF"/>
    <w:rsid w:val="00DB2D1C"/>
    <w:rsid w:val="00DD32CA"/>
    <w:rsid w:val="00DE7985"/>
    <w:rsid w:val="00DF7557"/>
    <w:rsid w:val="00E66E88"/>
    <w:rsid w:val="00E87F7B"/>
    <w:rsid w:val="00E94822"/>
    <w:rsid w:val="00EA20BE"/>
    <w:rsid w:val="00EA2FAD"/>
    <w:rsid w:val="00EC759D"/>
    <w:rsid w:val="00ED7DE8"/>
    <w:rsid w:val="00F03494"/>
    <w:rsid w:val="00F05373"/>
    <w:rsid w:val="00F21523"/>
    <w:rsid w:val="00F23807"/>
    <w:rsid w:val="00F31113"/>
    <w:rsid w:val="00F3785D"/>
    <w:rsid w:val="00F46041"/>
    <w:rsid w:val="00F547A8"/>
    <w:rsid w:val="00F64675"/>
    <w:rsid w:val="00F7568C"/>
    <w:rsid w:val="00F8134A"/>
    <w:rsid w:val="00F90ACB"/>
    <w:rsid w:val="00F91BA1"/>
    <w:rsid w:val="00F95946"/>
    <w:rsid w:val="00FD4459"/>
    <w:rsid w:val="00FD6886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D5FC"/>
  <w15:chartTrackingRefBased/>
  <w15:docId w15:val="{2DF675BC-8A4F-46FC-A145-D6518234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6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6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51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 Foundation Info</dc:creator>
  <cp:keywords/>
  <dc:description/>
  <cp:lastModifiedBy>Child Foundation Info</cp:lastModifiedBy>
  <cp:revision>133</cp:revision>
  <dcterms:created xsi:type="dcterms:W3CDTF">2022-07-04T02:52:00Z</dcterms:created>
  <dcterms:modified xsi:type="dcterms:W3CDTF">2022-07-14T22:58:00Z</dcterms:modified>
</cp:coreProperties>
</file>