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0D24FC" w14:textId="77777777" w:rsidR="00054FE2" w:rsidRDefault="00000000">
      <w:pPr>
        <w:spacing w:before="1600"/>
        <w:jc w:val="center"/>
      </w:pPr>
      <w:r>
        <w:rPr>
          <w:rFonts w:ascii="Georgia" w:eastAsia="Georgia" w:hAnsi="Georgia" w:cs="Georgia"/>
          <w:b/>
          <w:bCs/>
          <w:color w:val="1A383F"/>
          <w:spacing w:val="60"/>
          <w:sz w:val="34"/>
          <w:szCs w:val="34"/>
        </w:rPr>
        <w:t>EQUATION COFFEE</w:t>
      </w:r>
    </w:p>
    <w:p w14:paraId="41509B95" w14:textId="77777777" w:rsidR="00054FE2" w:rsidRDefault="00000000">
      <w:pPr>
        <w:spacing w:after="600"/>
        <w:jc w:val="center"/>
      </w:pPr>
      <w:r>
        <w:rPr>
          <w:color w:val="C9B9A1"/>
          <w:spacing w:val="120"/>
          <w:sz w:val="18"/>
          <w:szCs w:val="18"/>
        </w:rPr>
        <w:t>COLOMBIA</w:t>
      </w:r>
    </w:p>
    <w:p w14:paraId="1EF88C6C" w14:textId="620D50B8" w:rsidR="00054FE2" w:rsidRDefault="00000000" w:rsidP="00DA127E">
      <w:pPr>
        <w:spacing w:before="400" w:after="60"/>
        <w:jc w:val="center"/>
      </w:pPr>
      <w:r>
        <w:rPr>
          <w:rFonts w:ascii="Georgia" w:eastAsia="Georgia" w:hAnsi="Georgia" w:cs="Georgia"/>
          <w:b/>
          <w:bCs/>
          <w:sz w:val="48"/>
          <w:szCs w:val="48"/>
        </w:rPr>
        <w:t>Política de Gestión de Riesgos de Mercado</w:t>
      </w:r>
      <w:r w:rsidR="00DA127E">
        <w:t xml:space="preserve"> </w:t>
      </w:r>
      <w:r>
        <w:rPr>
          <w:rFonts w:ascii="Georgia" w:eastAsia="Georgia" w:hAnsi="Georgia" w:cs="Georgia"/>
          <w:b/>
          <w:bCs/>
          <w:sz w:val="48"/>
          <w:szCs w:val="48"/>
        </w:rPr>
        <w:t>y Coberturas</w:t>
      </w:r>
    </w:p>
    <w:p w14:paraId="402FDF87" w14:textId="77777777" w:rsidR="00054FE2" w:rsidRDefault="00000000">
      <w:pPr>
        <w:spacing w:after="500"/>
        <w:jc w:val="center"/>
      </w:pPr>
      <w:r>
        <w:rPr>
          <w:rFonts w:ascii="Georgia" w:eastAsia="Georgia" w:hAnsi="Georgia" w:cs="Georgia"/>
          <w:i/>
          <w:iCs/>
          <w:color w:val="6A6A6A"/>
          <w:sz w:val="24"/>
          <w:szCs w:val="24"/>
        </w:rPr>
        <w:t>Riesgo de Precio (Contrato «C»)  ·  Diferencial de Origen  ·  Riesgo Cambiario (FX)</w:t>
      </w:r>
    </w:p>
    <w:p w14:paraId="079F2526" w14:textId="77777777" w:rsidR="00054FE2" w:rsidRDefault="00000000">
      <w:pPr>
        <w:spacing w:before="700" w:after="40"/>
        <w:jc w:val="center"/>
      </w:pPr>
      <w:r>
        <w:rPr>
          <w:b/>
          <w:bCs/>
          <w:color w:val="24505A"/>
        </w:rPr>
        <w:t>Versión 1.0 — Borrador para socialización</w:t>
      </w:r>
    </w:p>
    <w:p w14:paraId="7F60D3E1" w14:textId="77777777" w:rsidR="00054FE2" w:rsidRDefault="00000000">
      <w:pPr>
        <w:spacing w:after="40"/>
        <w:jc w:val="center"/>
      </w:pPr>
      <w:r>
        <w:rPr>
          <w:color w:val="6A6A6A"/>
          <w:sz w:val="20"/>
          <w:szCs w:val="20"/>
        </w:rPr>
        <w:t>27 de agosto de 2026</w:t>
      </w:r>
    </w:p>
    <w:p w14:paraId="40AD5DF8" w14:textId="77777777" w:rsidR="00054FE2" w:rsidRDefault="00000000">
      <w:pPr>
        <w:spacing w:before="900"/>
        <w:jc w:val="center"/>
      </w:pPr>
      <w:r>
        <w:rPr>
          <w:color w:val="6A6A6A"/>
          <w:spacing w:val="40"/>
          <w:sz w:val="16"/>
          <w:szCs w:val="16"/>
        </w:rPr>
        <w:t>DOCUMENTO CONFIDENCIAL — USO INTERNO</w:t>
      </w:r>
    </w:p>
    <w:p w14:paraId="55FAB6E7" w14:textId="77777777" w:rsidR="00054FE2" w:rsidRDefault="00000000">
      <w:r>
        <w:br w:type="page"/>
      </w:r>
    </w:p>
    <w:p w14:paraId="0E47A485" w14:textId="77777777" w:rsidR="00054FE2" w:rsidRDefault="00054FE2">
      <w:pPr>
        <w:sectPr w:rsidR="00054FE2">
          <w:pgSz w:w="11906" w:h="16838"/>
          <w:pgMar w:top="1440" w:right="1152" w:bottom="1440" w:left="1152" w:header="708" w:footer="708" w:gutter="0"/>
          <w:cols w:space="720"/>
          <w:docGrid w:linePitch="360"/>
        </w:sectPr>
      </w:pPr>
    </w:p>
    <w:p w14:paraId="6D7F4BAB" w14:textId="77777777" w:rsidR="00054FE2" w:rsidRDefault="00000000">
      <w:pPr>
        <w:spacing w:after="160"/>
      </w:pPr>
      <w:r>
        <w:rPr>
          <w:rFonts w:ascii="Georgia" w:eastAsia="Georgia" w:hAnsi="Georgia" w:cs="Georgia"/>
          <w:b/>
          <w:bCs/>
          <w:color w:val="1A383F"/>
          <w:sz w:val="30"/>
          <w:szCs w:val="30"/>
        </w:rPr>
        <w:lastRenderedPageBreak/>
        <w:t>Contenido</w:t>
      </w:r>
    </w:p>
    <w:sdt>
      <w:sdtPr>
        <w:alias w:val="Contenido"/>
        <w:id w:val="-164172835"/>
      </w:sdtPr>
      <w:sdtContent>
        <w:p w14:paraId="4786D8A8" w14:textId="77777777" w:rsidR="00DA127E" w:rsidRDefault="00000000">
          <w:pPr>
            <w:pStyle w:val="TOC1"/>
            <w:tabs>
              <w:tab w:val="right" w:leader="dot" w:pos="9592"/>
            </w:tabs>
            <w:rPr>
              <w:noProof/>
            </w:rPr>
          </w:pPr>
          <w:r>
            <w:fldChar w:fldCharType="begin"/>
          </w:r>
          <w:r>
            <w:instrText>TOC \h \o "1-2"</w:instrText>
          </w:r>
          <w:r>
            <w:fldChar w:fldCharType="separate"/>
          </w:r>
          <w:hyperlink w:anchor="_Toc238748934" w:history="1">
            <w:r w:rsidR="00DA127E" w:rsidRPr="00121CFC">
              <w:rPr>
                <w:rStyle w:val="Hyperlink"/>
                <w:noProof/>
              </w:rPr>
              <w:t>1. Objetivo y alcance</w:t>
            </w:r>
            <w:r w:rsidR="00DA127E">
              <w:rPr>
                <w:noProof/>
              </w:rPr>
              <w:tab/>
            </w:r>
            <w:r w:rsidR="00DA127E">
              <w:rPr>
                <w:noProof/>
              </w:rPr>
              <w:fldChar w:fldCharType="begin"/>
            </w:r>
            <w:r w:rsidR="00DA127E">
              <w:rPr>
                <w:noProof/>
              </w:rPr>
              <w:instrText xml:space="preserve"> PAGEREF _Toc238748934 \h </w:instrText>
            </w:r>
            <w:r w:rsidR="00DA127E">
              <w:rPr>
                <w:noProof/>
              </w:rPr>
            </w:r>
            <w:r w:rsidR="00DA127E">
              <w:rPr>
                <w:noProof/>
              </w:rPr>
              <w:fldChar w:fldCharType="separate"/>
            </w:r>
            <w:r w:rsidR="00DA127E">
              <w:rPr>
                <w:noProof/>
              </w:rPr>
              <w:t>2</w:t>
            </w:r>
            <w:r w:rsidR="00DA127E">
              <w:rPr>
                <w:noProof/>
              </w:rPr>
              <w:fldChar w:fldCharType="end"/>
            </w:r>
          </w:hyperlink>
        </w:p>
        <w:p w14:paraId="1B327056" w14:textId="77777777" w:rsidR="00DA127E" w:rsidRDefault="00DA127E">
          <w:pPr>
            <w:pStyle w:val="TOC1"/>
            <w:tabs>
              <w:tab w:val="right" w:leader="dot" w:pos="9592"/>
            </w:tabs>
            <w:rPr>
              <w:noProof/>
            </w:rPr>
          </w:pPr>
          <w:hyperlink w:anchor="_Toc238748935" w:history="1">
            <w:r w:rsidRPr="00121CFC">
              <w:rPr>
                <w:rStyle w:val="Hyperlink"/>
                <w:noProof/>
              </w:rPr>
              <w:t>2. Resumen ejecutivo</w:t>
            </w:r>
            <w:r>
              <w:rPr>
                <w:noProof/>
              </w:rPr>
              <w:tab/>
            </w:r>
            <w:r>
              <w:rPr>
                <w:noProof/>
              </w:rPr>
              <w:fldChar w:fldCharType="begin"/>
            </w:r>
            <w:r>
              <w:rPr>
                <w:noProof/>
              </w:rPr>
              <w:instrText xml:space="preserve"> PAGEREF _Toc238748935 \h </w:instrText>
            </w:r>
            <w:r>
              <w:rPr>
                <w:noProof/>
              </w:rPr>
            </w:r>
            <w:r>
              <w:rPr>
                <w:noProof/>
              </w:rPr>
              <w:fldChar w:fldCharType="separate"/>
            </w:r>
            <w:r>
              <w:rPr>
                <w:noProof/>
              </w:rPr>
              <w:t>2</w:t>
            </w:r>
            <w:r>
              <w:rPr>
                <w:noProof/>
              </w:rPr>
              <w:fldChar w:fldCharType="end"/>
            </w:r>
          </w:hyperlink>
        </w:p>
        <w:p w14:paraId="790C5BC5" w14:textId="77777777" w:rsidR="00DA127E" w:rsidRDefault="00DA127E">
          <w:pPr>
            <w:pStyle w:val="TOC1"/>
            <w:tabs>
              <w:tab w:val="right" w:leader="dot" w:pos="9592"/>
            </w:tabs>
            <w:rPr>
              <w:noProof/>
            </w:rPr>
          </w:pPr>
          <w:hyperlink w:anchor="_Toc238748936" w:history="1">
            <w:r w:rsidRPr="00121CFC">
              <w:rPr>
                <w:rStyle w:val="Hyperlink"/>
                <w:noProof/>
              </w:rPr>
              <w:t>3. Principios rectores</w:t>
            </w:r>
            <w:r>
              <w:rPr>
                <w:noProof/>
              </w:rPr>
              <w:tab/>
            </w:r>
            <w:r>
              <w:rPr>
                <w:noProof/>
              </w:rPr>
              <w:fldChar w:fldCharType="begin"/>
            </w:r>
            <w:r>
              <w:rPr>
                <w:noProof/>
              </w:rPr>
              <w:instrText xml:space="preserve"> PAGEREF _Toc238748936 \h </w:instrText>
            </w:r>
            <w:r>
              <w:rPr>
                <w:noProof/>
              </w:rPr>
            </w:r>
            <w:r>
              <w:rPr>
                <w:noProof/>
              </w:rPr>
              <w:fldChar w:fldCharType="separate"/>
            </w:r>
            <w:r>
              <w:rPr>
                <w:noProof/>
              </w:rPr>
              <w:t>2</w:t>
            </w:r>
            <w:r>
              <w:rPr>
                <w:noProof/>
              </w:rPr>
              <w:fldChar w:fldCharType="end"/>
            </w:r>
          </w:hyperlink>
        </w:p>
        <w:p w14:paraId="6A298E2C" w14:textId="77777777" w:rsidR="00DA127E" w:rsidRDefault="00DA127E">
          <w:pPr>
            <w:pStyle w:val="TOC1"/>
            <w:tabs>
              <w:tab w:val="right" w:leader="dot" w:pos="9592"/>
            </w:tabs>
            <w:rPr>
              <w:noProof/>
            </w:rPr>
          </w:pPr>
          <w:hyperlink w:anchor="_Toc238748937" w:history="1">
            <w:r w:rsidRPr="00121CFC">
              <w:rPr>
                <w:rStyle w:val="Hyperlink"/>
                <w:noProof/>
              </w:rPr>
              <w:t>4. Riesgo de Precio del Café (Contrato «C»)</w:t>
            </w:r>
            <w:r>
              <w:rPr>
                <w:noProof/>
              </w:rPr>
              <w:tab/>
            </w:r>
            <w:r>
              <w:rPr>
                <w:noProof/>
              </w:rPr>
              <w:fldChar w:fldCharType="begin"/>
            </w:r>
            <w:r>
              <w:rPr>
                <w:noProof/>
              </w:rPr>
              <w:instrText xml:space="preserve"> PAGEREF _Toc238748937 \h </w:instrText>
            </w:r>
            <w:r>
              <w:rPr>
                <w:noProof/>
              </w:rPr>
            </w:r>
            <w:r>
              <w:rPr>
                <w:noProof/>
              </w:rPr>
              <w:fldChar w:fldCharType="separate"/>
            </w:r>
            <w:r>
              <w:rPr>
                <w:noProof/>
              </w:rPr>
              <w:t>4</w:t>
            </w:r>
            <w:r>
              <w:rPr>
                <w:noProof/>
              </w:rPr>
              <w:fldChar w:fldCharType="end"/>
            </w:r>
          </w:hyperlink>
        </w:p>
        <w:p w14:paraId="574026B1" w14:textId="77777777" w:rsidR="00DA127E" w:rsidRDefault="00DA127E">
          <w:pPr>
            <w:pStyle w:val="TOC2"/>
            <w:tabs>
              <w:tab w:val="right" w:leader="dot" w:pos="9592"/>
            </w:tabs>
            <w:rPr>
              <w:noProof/>
            </w:rPr>
          </w:pPr>
          <w:hyperlink w:anchor="_Toc238748938" w:history="1">
            <w:r w:rsidRPr="00121CFC">
              <w:rPr>
                <w:rStyle w:val="Hyperlink"/>
                <w:noProof/>
              </w:rPr>
              <w:t>4.1 Definición y cuándo nace</w:t>
            </w:r>
            <w:r>
              <w:rPr>
                <w:noProof/>
              </w:rPr>
              <w:tab/>
            </w:r>
            <w:r>
              <w:rPr>
                <w:noProof/>
              </w:rPr>
              <w:fldChar w:fldCharType="begin"/>
            </w:r>
            <w:r>
              <w:rPr>
                <w:noProof/>
              </w:rPr>
              <w:instrText xml:space="preserve"> PAGEREF _Toc238748938 \h </w:instrText>
            </w:r>
            <w:r>
              <w:rPr>
                <w:noProof/>
              </w:rPr>
            </w:r>
            <w:r>
              <w:rPr>
                <w:noProof/>
              </w:rPr>
              <w:fldChar w:fldCharType="separate"/>
            </w:r>
            <w:r>
              <w:rPr>
                <w:noProof/>
              </w:rPr>
              <w:t>4</w:t>
            </w:r>
            <w:r>
              <w:rPr>
                <w:noProof/>
              </w:rPr>
              <w:fldChar w:fldCharType="end"/>
            </w:r>
          </w:hyperlink>
        </w:p>
        <w:p w14:paraId="5319460B" w14:textId="77777777" w:rsidR="00DA127E" w:rsidRDefault="00DA127E">
          <w:pPr>
            <w:pStyle w:val="TOC2"/>
            <w:tabs>
              <w:tab w:val="right" w:leader="dot" w:pos="9592"/>
            </w:tabs>
            <w:rPr>
              <w:noProof/>
            </w:rPr>
          </w:pPr>
          <w:hyperlink w:anchor="_Toc238748939" w:history="1">
            <w:r w:rsidRPr="00121CFC">
              <w:rPr>
                <w:rStyle w:val="Hyperlink"/>
                <w:noProof/>
              </w:rPr>
              <w:t>4.2 Conclusión</w:t>
            </w:r>
            <w:r>
              <w:rPr>
                <w:noProof/>
              </w:rPr>
              <w:tab/>
            </w:r>
            <w:r>
              <w:rPr>
                <w:noProof/>
              </w:rPr>
              <w:fldChar w:fldCharType="begin"/>
            </w:r>
            <w:r>
              <w:rPr>
                <w:noProof/>
              </w:rPr>
              <w:instrText xml:space="preserve"> PAGEREF _Toc238748939 \h </w:instrText>
            </w:r>
            <w:r>
              <w:rPr>
                <w:noProof/>
              </w:rPr>
            </w:r>
            <w:r>
              <w:rPr>
                <w:noProof/>
              </w:rPr>
              <w:fldChar w:fldCharType="separate"/>
            </w:r>
            <w:r>
              <w:rPr>
                <w:noProof/>
              </w:rPr>
              <w:t>4</w:t>
            </w:r>
            <w:r>
              <w:rPr>
                <w:noProof/>
              </w:rPr>
              <w:fldChar w:fldCharType="end"/>
            </w:r>
          </w:hyperlink>
        </w:p>
        <w:p w14:paraId="0BA0E380" w14:textId="77777777" w:rsidR="00DA127E" w:rsidRDefault="00DA127E">
          <w:pPr>
            <w:pStyle w:val="TOC2"/>
            <w:tabs>
              <w:tab w:val="right" w:leader="dot" w:pos="9592"/>
            </w:tabs>
            <w:rPr>
              <w:noProof/>
            </w:rPr>
          </w:pPr>
          <w:hyperlink w:anchor="_Toc238748940" w:history="1">
            <w:r w:rsidRPr="00121CFC">
              <w:rPr>
                <w:rStyle w:val="Hyperlink"/>
                <w:noProof/>
              </w:rPr>
              <w:t>4.3 Coberturas aplicables</w:t>
            </w:r>
            <w:r>
              <w:rPr>
                <w:noProof/>
              </w:rPr>
              <w:tab/>
            </w:r>
            <w:r>
              <w:rPr>
                <w:noProof/>
              </w:rPr>
              <w:fldChar w:fldCharType="begin"/>
            </w:r>
            <w:r>
              <w:rPr>
                <w:noProof/>
              </w:rPr>
              <w:instrText xml:space="preserve"> PAGEREF _Toc238748940 \h </w:instrText>
            </w:r>
            <w:r>
              <w:rPr>
                <w:noProof/>
              </w:rPr>
            </w:r>
            <w:r>
              <w:rPr>
                <w:noProof/>
              </w:rPr>
              <w:fldChar w:fldCharType="separate"/>
            </w:r>
            <w:r>
              <w:rPr>
                <w:noProof/>
              </w:rPr>
              <w:t>4</w:t>
            </w:r>
            <w:r>
              <w:rPr>
                <w:noProof/>
              </w:rPr>
              <w:fldChar w:fldCharType="end"/>
            </w:r>
          </w:hyperlink>
        </w:p>
        <w:p w14:paraId="36444E43" w14:textId="77777777" w:rsidR="00DA127E" w:rsidRDefault="00DA127E">
          <w:pPr>
            <w:pStyle w:val="TOC2"/>
            <w:tabs>
              <w:tab w:val="right" w:leader="dot" w:pos="9592"/>
            </w:tabs>
            <w:rPr>
              <w:noProof/>
            </w:rPr>
          </w:pPr>
          <w:hyperlink w:anchor="_Toc238748941" w:history="1">
            <w:r w:rsidRPr="00121CFC">
              <w:rPr>
                <w:rStyle w:val="Hyperlink"/>
                <w:noProof/>
              </w:rPr>
              <w:t>4.4 Reglas operativas</w:t>
            </w:r>
            <w:r>
              <w:rPr>
                <w:noProof/>
              </w:rPr>
              <w:tab/>
            </w:r>
            <w:r>
              <w:rPr>
                <w:noProof/>
              </w:rPr>
              <w:fldChar w:fldCharType="begin"/>
            </w:r>
            <w:r>
              <w:rPr>
                <w:noProof/>
              </w:rPr>
              <w:instrText xml:space="preserve"> PAGEREF _Toc238748941 \h </w:instrText>
            </w:r>
            <w:r>
              <w:rPr>
                <w:noProof/>
              </w:rPr>
            </w:r>
            <w:r>
              <w:rPr>
                <w:noProof/>
              </w:rPr>
              <w:fldChar w:fldCharType="separate"/>
            </w:r>
            <w:r>
              <w:rPr>
                <w:noProof/>
              </w:rPr>
              <w:t>4</w:t>
            </w:r>
            <w:r>
              <w:rPr>
                <w:noProof/>
              </w:rPr>
              <w:fldChar w:fldCharType="end"/>
            </w:r>
          </w:hyperlink>
        </w:p>
        <w:p w14:paraId="757B32FC" w14:textId="77777777" w:rsidR="00DA127E" w:rsidRDefault="00DA127E">
          <w:pPr>
            <w:pStyle w:val="TOC2"/>
            <w:tabs>
              <w:tab w:val="right" w:leader="dot" w:pos="9592"/>
            </w:tabs>
            <w:rPr>
              <w:noProof/>
            </w:rPr>
          </w:pPr>
          <w:hyperlink w:anchor="_Toc238748942" w:history="1">
            <w:r w:rsidRPr="00121CFC">
              <w:rPr>
                <w:rStyle w:val="Hyperlink"/>
                <w:noProof/>
              </w:rPr>
              <w:t>4.5 Prácticas de referencia del mercado</w:t>
            </w:r>
            <w:r>
              <w:rPr>
                <w:noProof/>
              </w:rPr>
              <w:tab/>
            </w:r>
            <w:r>
              <w:rPr>
                <w:noProof/>
              </w:rPr>
              <w:fldChar w:fldCharType="begin"/>
            </w:r>
            <w:r>
              <w:rPr>
                <w:noProof/>
              </w:rPr>
              <w:instrText xml:space="preserve"> PAGEREF _Toc238748942 \h </w:instrText>
            </w:r>
            <w:r>
              <w:rPr>
                <w:noProof/>
              </w:rPr>
            </w:r>
            <w:r>
              <w:rPr>
                <w:noProof/>
              </w:rPr>
              <w:fldChar w:fldCharType="separate"/>
            </w:r>
            <w:r>
              <w:rPr>
                <w:noProof/>
              </w:rPr>
              <w:t>4</w:t>
            </w:r>
            <w:r>
              <w:rPr>
                <w:noProof/>
              </w:rPr>
              <w:fldChar w:fldCharType="end"/>
            </w:r>
          </w:hyperlink>
        </w:p>
        <w:p w14:paraId="125FD4CD" w14:textId="77777777" w:rsidR="00DA127E" w:rsidRDefault="00DA127E">
          <w:pPr>
            <w:pStyle w:val="TOC1"/>
            <w:tabs>
              <w:tab w:val="right" w:leader="dot" w:pos="9592"/>
            </w:tabs>
            <w:rPr>
              <w:noProof/>
            </w:rPr>
          </w:pPr>
          <w:hyperlink w:anchor="_Toc238748943" w:history="1">
            <w:r w:rsidRPr="00121CFC">
              <w:rPr>
                <w:rStyle w:val="Hyperlink"/>
                <w:noProof/>
              </w:rPr>
              <w:t>5. Riesgo de Diferencial de Origen (Basis)</w:t>
            </w:r>
            <w:r>
              <w:rPr>
                <w:noProof/>
              </w:rPr>
              <w:tab/>
            </w:r>
            <w:r>
              <w:rPr>
                <w:noProof/>
              </w:rPr>
              <w:fldChar w:fldCharType="begin"/>
            </w:r>
            <w:r>
              <w:rPr>
                <w:noProof/>
              </w:rPr>
              <w:instrText xml:space="preserve"> PAGEREF _Toc238748943 \h </w:instrText>
            </w:r>
            <w:r>
              <w:rPr>
                <w:noProof/>
              </w:rPr>
            </w:r>
            <w:r>
              <w:rPr>
                <w:noProof/>
              </w:rPr>
              <w:fldChar w:fldCharType="separate"/>
            </w:r>
            <w:r>
              <w:rPr>
                <w:noProof/>
              </w:rPr>
              <w:t>5</w:t>
            </w:r>
            <w:r>
              <w:rPr>
                <w:noProof/>
              </w:rPr>
              <w:fldChar w:fldCharType="end"/>
            </w:r>
          </w:hyperlink>
        </w:p>
        <w:p w14:paraId="01737B7E" w14:textId="77777777" w:rsidR="00DA127E" w:rsidRDefault="00DA127E">
          <w:pPr>
            <w:pStyle w:val="TOC2"/>
            <w:tabs>
              <w:tab w:val="right" w:leader="dot" w:pos="9592"/>
            </w:tabs>
            <w:rPr>
              <w:noProof/>
            </w:rPr>
          </w:pPr>
          <w:hyperlink w:anchor="_Toc238748944" w:history="1">
            <w:r w:rsidRPr="00121CFC">
              <w:rPr>
                <w:rStyle w:val="Hyperlink"/>
                <w:noProof/>
              </w:rPr>
              <w:t>5.1 Definición</w:t>
            </w:r>
            <w:r>
              <w:rPr>
                <w:noProof/>
              </w:rPr>
              <w:tab/>
            </w:r>
            <w:r>
              <w:rPr>
                <w:noProof/>
              </w:rPr>
              <w:fldChar w:fldCharType="begin"/>
            </w:r>
            <w:r>
              <w:rPr>
                <w:noProof/>
              </w:rPr>
              <w:instrText xml:space="preserve"> PAGEREF _Toc238748944 \h </w:instrText>
            </w:r>
            <w:r>
              <w:rPr>
                <w:noProof/>
              </w:rPr>
            </w:r>
            <w:r>
              <w:rPr>
                <w:noProof/>
              </w:rPr>
              <w:fldChar w:fldCharType="separate"/>
            </w:r>
            <w:r>
              <w:rPr>
                <w:noProof/>
              </w:rPr>
              <w:t>5</w:t>
            </w:r>
            <w:r>
              <w:rPr>
                <w:noProof/>
              </w:rPr>
              <w:fldChar w:fldCharType="end"/>
            </w:r>
          </w:hyperlink>
        </w:p>
        <w:p w14:paraId="46553B08" w14:textId="77777777" w:rsidR="00DA127E" w:rsidRDefault="00DA127E">
          <w:pPr>
            <w:pStyle w:val="TOC2"/>
            <w:tabs>
              <w:tab w:val="right" w:leader="dot" w:pos="9592"/>
            </w:tabs>
            <w:rPr>
              <w:noProof/>
            </w:rPr>
          </w:pPr>
          <w:hyperlink w:anchor="_Toc238748945" w:history="1">
            <w:r w:rsidRPr="00121CFC">
              <w:rPr>
                <w:rStyle w:val="Hyperlink"/>
                <w:noProof/>
              </w:rPr>
              <w:t>5.2 Conclusión</w:t>
            </w:r>
            <w:r>
              <w:rPr>
                <w:noProof/>
              </w:rPr>
              <w:tab/>
            </w:r>
            <w:r>
              <w:rPr>
                <w:noProof/>
              </w:rPr>
              <w:fldChar w:fldCharType="begin"/>
            </w:r>
            <w:r>
              <w:rPr>
                <w:noProof/>
              </w:rPr>
              <w:instrText xml:space="preserve"> PAGEREF _Toc238748945 \h </w:instrText>
            </w:r>
            <w:r>
              <w:rPr>
                <w:noProof/>
              </w:rPr>
            </w:r>
            <w:r>
              <w:rPr>
                <w:noProof/>
              </w:rPr>
              <w:fldChar w:fldCharType="separate"/>
            </w:r>
            <w:r>
              <w:rPr>
                <w:noProof/>
              </w:rPr>
              <w:t>5</w:t>
            </w:r>
            <w:r>
              <w:rPr>
                <w:noProof/>
              </w:rPr>
              <w:fldChar w:fldCharType="end"/>
            </w:r>
          </w:hyperlink>
        </w:p>
        <w:p w14:paraId="4EC68CD4" w14:textId="77777777" w:rsidR="00DA127E" w:rsidRDefault="00DA127E">
          <w:pPr>
            <w:pStyle w:val="TOC2"/>
            <w:tabs>
              <w:tab w:val="right" w:leader="dot" w:pos="9592"/>
            </w:tabs>
            <w:rPr>
              <w:noProof/>
            </w:rPr>
          </w:pPr>
          <w:hyperlink w:anchor="_Toc238748946" w:history="1">
            <w:r w:rsidRPr="00121CFC">
              <w:rPr>
                <w:rStyle w:val="Hyperlink"/>
                <w:noProof/>
              </w:rPr>
              <w:t>5.3 Soluciones (gestión operativa)</w:t>
            </w:r>
            <w:r>
              <w:rPr>
                <w:noProof/>
              </w:rPr>
              <w:tab/>
            </w:r>
            <w:r>
              <w:rPr>
                <w:noProof/>
              </w:rPr>
              <w:fldChar w:fldCharType="begin"/>
            </w:r>
            <w:r>
              <w:rPr>
                <w:noProof/>
              </w:rPr>
              <w:instrText xml:space="preserve"> PAGEREF _Toc238748946 \h </w:instrText>
            </w:r>
            <w:r>
              <w:rPr>
                <w:noProof/>
              </w:rPr>
            </w:r>
            <w:r>
              <w:rPr>
                <w:noProof/>
              </w:rPr>
              <w:fldChar w:fldCharType="separate"/>
            </w:r>
            <w:r>
              <w:rPr>
                <w:noProof/>
              </w:rPr>
              <w:t>5</w:t>
            </w:r>
            <w:r>
              <w:rPr>
                <w:noProof/>
              </w:rPr>
              <w:fldChar w:fldCharType="end"/>
            </w:r>
          </w:hyperlink>
        </w:p>
        <w:p w14:paraId="32158E0A" w14:textId="77777777" w:rsidR="00DA127E" w:rsidRDefault="00DA127E">
          <w:pPr>
            <w:pStyle w:val="TOC2"/>
            <w:tabs>
              <w:tab w:val="right" w:leader="dot" w:pos="9592"/>
            </w:tabs>
            <w:rPr>
              <w:noProof/>
            </w:rPr>
          </w:pPr>
          <w:hyperlink w:anchor="_Toc238748947" w:history="1">
            <w:r w:rsidRPr="00121CFC">
              <w:rPr>
                <w:rStyle w:val="Hyperlink"/>
                <w:noProof/>
              </w:rPr>
              <w:t>5.4 Prácticas de referencia del mercado</w:t>
            </w:r>
            <w:r>
              <w:rPr>
                <w:noProof/>
              </w:rPr>
              <w:tab/>
            </w:r>
            <w:r>
              <w:rPr>
                <w:noProof/>
              </w:rPr>
              <w:fldChar w:fldCharType="begin"/>
            </w:r>
            <w:r>
              <w:rPr>
                <w:noProof/>
              </w:rPr>
              <w:instrText xml:space="preserve"> PAGEREF _Toc238748947 \h </w:instrText>
            </w:r>
            <w:r>
              <w:rPr>
                <w:noProof/>
              </w:rPr>
            </w:r>
            <w:r>
              <w:rPr>
                <w:noProof/>
              </w:rPr>
              <w:fldChar w:fldCharType="separate"/>
            </w:r>
            <w:r>
              <w:rPr>
                <w:noProof/>
              </w:rPr>
              <w:t>5</w:t>
            </w:r>
            <w:r>
              <w:rPr>
                <w:noProof/>
              </w:rPr>
              <w:fldChar w:fldCharType="end"/>
            </w:r>
          </w:hyperlink>
        </w:p>
        <w:p w14:paraId="7FF6D41F" w14:textId="77777777" w:rsidR="00DA127E" w:rsidRDefault="00DA127E">
          <w:pPr>
            <w:pStyle w:val="TOC1"/>
            <w:tabs>
              <w:tab w:val="right" w:leader="dot" w:pos="9592"/>
            </w:tabs>
            <w:rPr>
              <w:noProof/>
            </w:rPr>
          </w:pPr>
          <w:hyperlink w:anchor="_Toc238748948" w:history="1">
            <w:r w:rsidRPr="00121CFC">
              <w:rPr>
                <w:rStyle w:val="Hyperlink"/>
                <w:noProof/>
              </w:rPr>
              <w:t>6. Riesgo Cambiario (FX / TRM)</w:t>
            </w:r>
            <w:r>
              <w:rPr>
                <w:noProof/>
              </w:rPr>
              <w:tab/>
            </w:r>
            <w:r>
              <w:rPr>
                <w:noProof/>
              </w:rPr>
              <w:fldChar w:fldCharType="begin"/>
            </w:r>
            <w:r>
              <w:rPr>
                <w:noProof/>
              </w:rPr>
              <w:instrText xml:space="preserve"> PAGEREF _Toc238748948 \h </w:instrText>
            </w:r>
            <w:r>
              <w:rPr>
                <w:noProof/>
              </w:rPr>
            </w:r>
            <w:r>
              <w:rPr>
                <w:noProof/>
              </w:rPr>
              <w:fldChar w:fldCharType="separate"/>
            </w:r>
            <w:r>
              <w:rPr>
                <w:noProof/>
              </w:rPr>
              <w:t>6</w:t>
            </w:r>
            <w:r>
              <w:rPr>
                <w:noProof/>
              </w:rPr>
              <w:fldChar w:fldCharType="end"/>
            </w:r>
          </w:hyperlink>
        </w:p>
        <w:p w14:paraId="3B3495D5" w14:textId="77777777" w:rsidR="00DA127E" w:rsidRDefault="00DA127E">
          <w:pPr>
            <w:pStyle w:val="TOC2"/>
            <w:tabs>
              <w:tab w:val="right" w:leader="dot" w:pos="9592"/>
            </w:tabs>
            <w:rPr>
              <w:noProof/>
            </w:rPr>
          </w:pPr>
          <w:hyperlink w:anchor="_Toc238748949" w:history="1">
            <w:r w:rsidRPr="00121CFC">
              <w:rPr>
                <w:rStyle w:val="Hyperlink"/>
                <w:noProof/>
              </w:rPr>
              <w:t>6.1 Doctrina: cuándo nace el riesgo</w:t>
            </w:r>
            <w:r>
              <w:rPr>
                <w:noProof/>
              </w:rPr>
              <w:tab/>
            </w:r>
            <w:r>
              <w:rPr>
                <w:noProof/>
              </w:rPr>
              <w:fldChar w:fldCharType="begin"/>
            </w:r>
            <w:r>
              <w:rPr>
                <w:noProof/>
              </w:rPr>
              <w:instrText xml:space="preserve"> PAGEREF _Toc238748949 \h </w:instrText>
            </w:r>
            <w:r>
              <w:rPr>
                <w:noProof/>
              </w:rPr>
            </w:r>
            <w:r>
              <w:rPr>
                <w:noProof/>
              </w:rPr>
              <w:fldChar w:fldCharType="separate"/>
            </w:r>
            <w:r>
              <w:rPr>
                <w:noProof/>
              </w:rPr>
              <w:t>6</w:t>
            </w:r>
            <w:r>
              <w:rPr>
                <w:noProof/>
              </w:rPr>
              <w:fldChar w:fldCharType="end"/>
            </w:r>
          </w:hyperlink>
        </w:p>
        <w:p w14:paraId="6B64EDDC" w14:textId="77777777" w:rsidR="00DA127E" w:rsidRDefault="00DA127E">
          <w:pPr>
            <w:pStyle w:val="TOC2"/>
            <w:tabs>
              <w:tab w:val="right" w:leader="dot" w:pos="9592"/>
            </w:tabs>
            <w:rPr>
              <w:noProof/>
            </w:rPr>
          </w:pPr>
          <w:hyperlink w:anchor="_Toc238748950" w:history="1">
            <w:r w:rsidRPr="00121CFC">
              <w:rPr>
                <w:rStyle w:val="Hyperlink"/>
                <w:noProof/>
              </w:rPr>
              <w:t>6.2 Conclusión</w:t>
            </w:r>
            <w:r>
              <w:rPr>
                <w:noProof/>
              </w:rPr>
              <w:tab/>
            </w:r>
            <w:r>
              <w:rPr>
                <w:noProof/>
              </w:rPr>
              <w:fldChar w:fldCharType="begin"/>
            </w:r>
            <w:r>
              <w:rPr>
                <w:noProof/>
              </w:rPr>
              <w:instrText xml:space="preserve"> PAGEREF _Toc238748950 \h </w:instrText>
            </w:r>
            <w:r>
              <w:rPr>
                <w:noProof/>
              </w:rPr>
            </w:r>
            <w:r>
              <w:rPr>
                <w:noProof/>
              </w:rPr>
              <w:fldChar w:fldCharType="separate"/>
            </w:r>
            <w:r>
              <w:rPr>
                <w:noProof/>
              </w:rPr>
              <w:t>6</w:t>
            </w:r>
            <w:r>
              <w:rPr>
                <w:noProof/>
              </w:rPr>
              <w:fldChar w:fldCharType="end"/>
            </w:r>
          </w:hyperlink>
        </w:p>
        <w:p w14:paraId="1A05F6D4" w14:textId="77777777" w:rsidR="00DA127E" w:rsidRDefault="00DA127E">
          <w:pPr>
            <w:pStyle w:val="TOC2"/>
            <w:tabs>
              <w:tab w:val="right" w:leader="dot" w:pos="9592"/>
            </w:tabs>
            <w:rPr>
              <w:noProof/>
            </w:rPr>
          </w:pPr>
          <w:hyperlink w:anchor="_Toc238748951" w:history="1">
            <w:r w:rsidRPr="00121CFC">
              <w:rPr>
                <w:rStyle w:val="Hyperlink"/>
                <w:noProof/>
              </w:rPr>
              <w:t>6.3 Cuánto cubrir y qué excluir</w:t>
            </w:r>
            <w:r>
              <w:rPr>
                <w:noProof/>
              </w:rPr>
              <w:tab/>
            </w:r>
            <w:r>
              <w:rPr>
                <w:noProof/>
              </w:rPr>
              <w:fldChar w:fldCharType="begin"/>
            </w:r>
            <w:r>
              <w:rPr>
                <w:noProof/>
              </w:rPr>
              <w:instrText xml:space="preserve"> PAGEREF _Toc238748951 \h </w:instrText>
            </w:r>
            <w:r>
              <w:rPr>
                <w:noProof/>
              </w:rPr>
            </w:r>
            <w:r>
              <w:rPr>
                <w:noProof/>
              </w:rPr>
              <w:fldChar w:fldCharType="separate"/>
            </w:r>
            <w:r>
              <w:rPr>
                <w:noProof/>
              </w:rPr>
              <w:t>6</w:t>
            </w:r>
            <w:r>
              <w:rPr>
                <w:noProof/>
              </w:rPr>
              <w:fldChar w:fldCharType="end"/>
            </w:r>
          </w:hyperlink>
        </w:p>
        <w:p w14:paraId="71DAD7B0" w14:textId="77777777" w:rsidR="00DA127E" w:rsidRDefault="00DA127E">
          <w:pPr>
            <w:pStyle w:val="TOC2"/>
            <w:tabs>
              <w:tab w:val="right" w:leader="dot" w:pos="9592"/>
            </w:tabs>
            <w:rPr>
              <w:noProof/>
            </w:rPr>
          </w:pPr>
          <w:hyperlink w:anchor="_Toc238748952" w:history="1">
            <w:r w:rsidRPr="00121CFC">
              <w:rPr>
                <w:rStyle w:val="Hyperlink"/>
                <w:noProof/>
              </w:rPr>
              <w:t>6.4 Política por tipo de transacción</w:t>
            </w:r>
            <w:r>
              <w:rPr>
                <w:noProof/>
              </w:rPr>
              <w:tab/>
            </w:r>
            <w:r>
              <w:rPr>
                <w:noProof/>
              </w:rPr>
              <w:fldChar w:fldCharType="begin"/>
            </w:r>
            <w:r>
              <w:rPr>
                <w:noProof/>
              </w:rPr>
              <w:instrText xml:space="preserve"> PAGEREF _Toc238748952 \h </w:instrText>
            </w:r>
            <w:r>
              <w:rPr>
                <w:noProof/>
              </w:rPr>
            </w:r>
            <w:r>
              <w:rPr>
                <w:noProof/>
              </w:rPr>
              <w:fldChar w:fldCharType="separate"/>
            </w:r>
            <w:r>
              <w:rPr>
                <w:noProof/>
              </w:rPr>
              <w:t>6</w:t>
            </w:r>
            <w:r>
              <w:rPr>
                <w:noProof/>
              </w:rPr>
              <w:fldChar w:fldCharType="end"/>
            </w:r>
          </w:hyperlink>
        </w:p>
        <w:p w14:paraId="73916F60" w14:textId="77777777" w:rsidR="00DA127E" w:rsidRDefault="00DA127E">
          <w:pPr>
            <w:pStyle w:val="TOC2"/>
            <w:tabs>
              <w:tab w:val="right" w:leader="dot" w:pos="9592"/>
            </w:tabs>
            <w:rPr>
              <w:noProof/>
            </w:rPr>
          </w:pPr>
          <w:hyperlink w:anchor="_Toc238748953" w:history="1">
            <w:r w:rsidRPr="00121CFC">
              <w:rPr>
                <w:rStyle w:val="Hyperlink"/>
                <w:noProof/>
              </w:rPr>
              <w:t>6.5 Overlay dinámico por banda de TRM</w:t>
            </w:r>
            <w:r>
              <w:rPr>
                <w:noProof/>
              </w:rPr>
              <w:tab/>
            </w:r>
            <w:r>
              <w:rPr>
                <w:noProof/>
              </w:rPr>
              <w:fldChar w:fldCharType="begin"/>
            </w:r>
            <w:r>
              <w:rPr>
                <w:noProof/>
              </w:rPr>
              <w:instrText xml:space="preserve"> PAGEREF _Toc238748953 \h </w:instrText>
            </w:r>
            <w:r>
              <w:rPr>
                <w:noProof/>
              </w:rPr>
            </w:r>
            <w:r>
              <w:rPr>
                <w:noProof/>
              </w:rPr>
              <w:fldChar w:fldCharType="separate"/>
            </w:r>
            <w:r>
              <w:rPr>
                <w:noProof/>
              </w:rPr>
              <w:t>7</w:t>
            </w:r>
            <w:r>
              <w:rPr>
                <w:noProof/>
              </w:rPr>
              <w:fldChar w:fldCharType="end"/>
            </w:r>
          </w:hyperlink>
        </w:p>
        <w:p w14:paraId="2D6A9A0E" w14:textId="77777777" w:rsidR="00DA127E" w:rsidRDefault="00DA127E">
          <w:pPr>
            <w:pStyle w:val="TOC2"/>
            <w:tabs>
              <w:tab w:val="right" w:leader="dot" w:pos="9592"/>
            </w:tabs>
            <w:rPr>
              <w:noProof/>
            </w:rPr>
          </w:pPr>
          <w:hyperlink w:anchor="_Toc238748954" w:history="1">
            <w:r w:rsidRPr="00121CFC">
              <w:rPr>
                <w:rStyle w:val="Hyperlink"/>
                <w:noProof/>
              </w:rPr>
              <w:t>6.6 Dos capas de cobertura</w:t>
            </w:r>
            <w:r>
              <w:rPr>
                <w:noProof/>
              </w:rPr>
              <w:tab/>
            </w:r>
            <w:r>
              <w:rPr>
                <w:noProof/>
              </w:rPr>
              <w:fldChar w:fldCharType="begin"/>
            </w:r>
            <w:r>
              <w:rPr>
                <w:noProof/>
              </w:rPr>
              <w:instrText xml:space="preserve"> PAGEREF _Toc238748954 \h </w:instrText>
            </w:r>
            <w:r>
              <w:rPr>
                <w:noProof/>
              </w:rPr>
            </w:r>
            <w:r>
              <w:rPr>
                <w:noProof/>
              </w:rPr>
              <w:fldChar w:fldCharType="separate"/>
            </w:r>
            <w:r>
              <w:rPr>
                <w:noProof/>
              </w:rPr>
              <w:t>7</w:t>
            </w:r>
            <w:r>
              <w:rPr>
                <w:noProof/>
              </w:rPr>
              <w:fldChar w:fldCharType="end"/>
            </w:r>
          </w:hyperlink>
        </w:p>
        <w:p w14:paraId="6DA4DF61" w14:textId="77777777" w:rsidR="00DA127E" w:rsidRDefault="00DA127E">
          <w:pPr>
            <w:pStyle w:val="TOC2"/>
            <w:tabs>
              <w:tab w:val="right" w:leader="dot" w:pos="9592"/>
            </w:tabs>
            <w:rPr>
              <w:noProof/>
            </w:rPr>
          </w:pPr>
          <w:hyperlink w:anchor="_Toc238748955" w:history="1">
            <w:r w:rsidRPr="00121CFC">
              <w:rPr>
                <w:rStyle w:val="Hyperlink"/>
                <w:noProof/>
              </w:rPr>
              <w:t>6.7 Advertencia: los límites de la «cobertura natural»</w:t>
            </w:r>
            <w:r>
              <w:rPr>
                <w:noProof/>
              </w:rPr>
              <w:tab/>
            </w:r>
            <w:r>
              <w:rPr>
                <w:noProof/>
              </w:rPr>
              <w:fldChar w:fldCharType="begin"/>
            </w:r>
            <w:r>
              <w:rPr>
                <w:noProof/>
              </w:rPr>
              <w:instrText xml:space="preserve"> PAGEREF _Toc238748955 \h </w:instrText>
            </w:r>
            <w:r>
              <w:rPr>
                <w:noProof/>
              </w:rPr>
            </w:r>
            <w:r>
              <w:rPr>
                <w:noProof/>
              </w:rPr>
              <w:fldChar w:fldCharType="separate"/>
            </w:r>
            <w:r>
              <w:rPr>
                <w:noProof/>
              </w:rPr>
              <w:t>7</w:t>
            </w:r>
            <w:r>
              <w:rPr>
                <w:noProof/>
              </w:rPr>
              <w:fldChar w:fldCharType="end"/>
            </w:r>
          </w:hyperlink>
        </w:p>
        <w:p w14:paraId="691A7356" w14:textId="77777777" w:rsidR="00DA127E" w:rsidRDefault="00DA127E">
          <w:pPr>
            <w:pStyle w:val="TOC2"/>
            <w:tabs>
              <w:tab w:val="right" w:leader="dot" w:pos="9592"/>
            </w:tabs>
            <w:rPr>
              <w:noProof/>
            </w:rPr>
          </w:pPr>
          <w:hyperlink w:anchor="_Toc238748956" w:history="1">
            <w:r w:rsidRPr="00121CFC">
              <w:rPr>
                <w:rStyle w:val="Hyperlink"/>
                <w:noProof/>
              </w:rPr>
              <w:t>6.8 Prácticas de referencia del mercado</w:t>
            </w:r>
            <w:r>
              <w:rPr>
                <w:noProof/>
              </w:rPr>
              <w:tab/>
            </w:r>
            <w:r>
              <w:rPr>
                <w:noProof/>
              </w:rPr>
              <w:fldChar w:fldCharType="begin"/>
            </w:r>
            <w:r>
              <w:rPr>
                <w:noProof/>
              </w:rPr>
              <w:instrText xml:space="preserve"> PAGEREF _Toc238748956 \h </w:instrText>
            </w:r>
            <w:r>
              <w:rPr>
                <w:noProof/>
              </w:rPr>
            </w:r>
            <w:r>
              <w:rPr>
                <w:noProof/>
              </w:rPr>
              <w:fldChar w:fldCharType="separate"/>
            </w:r>
            <w:r>
              <w:rPr>
                <w:noProof/>
              </w:rPr>
              <w:t>8</w:t>
            </w:r>
            <w:r>
              <w:rPr>
                <w:noProof/>
              </w:rPr>
              <w:fldChar w:fldCharType="end"/>
            </w:r>
          </w:hyperlink>
        </w:p>
        <w:p w14:paraId="36C7A80C" w14:textId="77777777" w:rsidR="00DA127E" w:rsidRDefault="00DA127E">
          <w:pPr>
            <w:pStyle w:val="TOC1"/>
            <w:tabs>
              <w:tab w:val="right" w:leader="dot" w:pos="9592"/>
            </w:tabs>
            <w:rPr>
              <w:noProof/>
            </w:rPr>
          </w:pPr>
          <w:hyperlink w:anchor="_Toc238748957" w:history="1">
            <w:r w:rsidRPr="00121CFC">
              <w:rPr>
                <w:rStyle w:val="Hyperlink"/>
                <w:noProof/>
              </w:rPr>
              <w:t>7. Gobierno y control</w:t>
            </w:r>
            <w:r>
              <w:rPr>
                <w:noProof/>
              </w:rPr>
              <w:tab/>
            </w:r>
            <w:r>
              <w:rPr>
                <w:noProof/>
              </w:rPr>
              <w:fldChar w:fldCharType="begin"/>
            </w:r>
            <w:r>
              <w:rPr>
                <w:noProof/>
              </w:rPr>
              <w:instrText xml:space="preserve"> PAGEREF _Toc238748957 \h </w:instrText>
            </w:r>
            <w:r>
              <w:rPr>
                <w:noProof/>
              </w:rPr>
            </w:r>
            <w:r>
              <w:rPr>
                <w:noProof/>
              </w:rPr>
              <w:fldChar w:fldCharType="separate"/>
            </w:r>
            <w:r>
              <w:rPr>
                <w:noProof/>
              </w:rPr>
              <w:t>9</w:t>
            </w:r>
            <w:r>
              <w:rPr>
                <w:noProof/>
              </w:rPr>
              <w:fldChar w:fldCharType="end"/>
            </w:r>
          </w:hyperlink>
        </w:p>
        <w:p w14:paraId="2486AD3A" w14:textId="77777777" w:rsidR="00DA127E" w:rsidRDefault="00DA127E">
          <w:pPr>
            <w:pStyle w:val="TOC1"/>
            <w:tabs>
              <w:tab w:val="right" w:leader="dot" w:pos="9592"/>
            </w:tabs>
            <w:rPr>
              <w:noProof/>
            </w:rPr>
          </w:pPr>
          <w:hyperlink w:anchor="_Toc238748958" w:history="1">
            <w:r w:rsidRPr="00121CFC">
              <w:rPr>
                <w:rStyle w:val="Hyperlink"/>
                <w:noProof/>
              </w:rPr>
              <w:t>8. Calibración pendiente</w:t>
            </w:r>
            <w:r>
              <w:rPr>
                <w:noProof/>
              </w:rPr>
              <w:tab/>
            </w:r>
            <w:r>
              <w:rPr>
                <w:noProof/>
              </w:rPr>
              <w:fldChar w:fldCharType="begin"/>
            </w:r>
            <w:r>
              <w:rPr>
                <w:noProof/>
              </w:rPr>
              <w:instrText xml:space="preserve"> PAGEREF _Toc238748958 \h </w:instrText>
            </w:r>
            <w:r>
              <w:rPr>
                <w:noProof/>
              </w:rPr>
            </w:r>
            <w:r>
              <w:rPr>
                <w:noProof/>
              </w:rPr>
              <w:fldChar w:fldCharType="separate"/>
            </w:r>
            <w:r>
              <w:rPr>
                <w:noProof/>
              </w:rPr>
              <w:t>9</w:t>
            </w:r>
            <w:r>
              <w:rPr>
                <w:noProof/>
              </w:rPr>
              <w:fldChar w:fldCharType="end"/>
            </w:r>
          </w:hyperlink>
        </w:p>
        <w:p w14:paraId="5DB04DE1" w14:textId="77777777" w:rsidR="00DA127E" w:rsidRDefault="00DA127E">
          <w:pPr>
            <w:pStyle w:val="TOC1"/>
            <w:tabs>
              <w:tab w:val="right" w:leader="dot" w:pos="9592"/>
            </w:tabs>
            <w:rPr>
              <w:noProof/>
            </w:rPr>
          </w:pPr>
          <w:hyperlink w:anchor="_Toc238748959" w:history="1">
            <w:r w:rsidRPr="00121CFC">
              <w:rPr>
                <w:rStyle w:val="Hyperlink"/>
                <w:noProof/>
              </w:rPr>
              <w:t>9. Referencias de mercado</w:t>
            </w:r>
            <w:r>
              <w:rPr>
                <w:noProof/>
              </w:rPr>
              <w:tab/>
            </w:r>
            <w:r>
              <w:rPr>
                <w:noProof/>
              </w:rPr>
              <w:fldChar w:fldCharType="begin"/>
            </w:r>
            <w:r>
              <w:rPr>
                <w:noProof/>
              </w:rPr>
              <w:instrText xml:space="preserve"> PAGEREF _Toc238748959 \h </w:instrText>
            </w:r>
            <w:r>
              <w:rPr>
                <w:noProof/>
              </w:rPr>
            </w:r>
            <w:r>
              <w:rPr>
                <w:noProof/>
              </w:rPr>
              <w:fldChar w:fldCharType="separate"/>
            </w:r>
            <w:r>
              <w:rPr>
                <w:noProof/>
              </w:rPr>
              <w:t>10</w:t>
            </w:r>
            <w:r>
              <w:rPr>
                <w:noProof/>
              </w:rPr>
              <w:fldChar w:fldCharType="end"/>
            </w:r>
          </w:hyperlink>
        </w:p>
        <w:p w14:paraId="4FA89956" w14:textId="77777777" w:rsidR="00054FE2" w:rsidRDefault="00000000">
          <w:r>
            <w:fldChar w:fldCharType="end"/>
          </w:r>
        </w:p>
      </w:sdtContent>
    </w:sdt>
    <w:p w14:paraId="120F67F7" w14:textId="77777777" w:rsidR="00054FE2" w:rsidRDefault="00000000">
      <w:r>
        <w:br w:type="page"/>
      </w:r>
    </w:p>
    <w:p w14:paraId="74141B89" w14:textId="77777777" w:rsidR="00054FE2" w:rsidRDefault="00000000">
      <w:pPr>
        <w:pStyle w:val="Heading1"/>
      </w:pPr>
      <w:bookmarkStart w:id="0" w:name="_Toc238748934"/>
      <w:r>
        <w:lastRenderedPageBreak/>
        <w:t>1. Objetivo y alcance</w:t>
      </w:r>
      <w:bookmarkEnd w:id="0"/>
    </w:p>
    <w:p w14:paraId="42714870" w14:textId="77777777" w:rsidR="00054FE2" w:rsidRDefault="00000000">
      <w:pPr>
        <w:spacing w:after="120" w:line="276" w:lineRule="auto"/>
      </w:pPr>
      <w:r>
        <w:t>Esta política define cómo Equation Coffee identifica, mide y cubre los tres riesgos de mercado inherentes a su operación de comercialización física de café: (i) el precio del café (Contrato «C» de ICE), (ii) el diferencial de origen y (iii) el riesgo cambiario (COP/USD). Establece, para cada riesgo, su naturaleza, el momento en que nace, si es cubrible o no, los instrumentos aplicables y las prácticas de referencia del mercado internacional.</w:t>
      </w:r>
    </w:p>
    <w:p w14:paraId="0EF4B94C" w14:textId="77777777" w:rsidR="00054FE2" w:rsidRDefault="00000000">
      <w:pPr>
        <w:spacing w:after="120" w:line="276" w:lineRule="auto"/>
      </w:pPr>
      <w:r>
        <w:t>Aplica a todas las operaciones de compra de café en Colombia y de venta a clientes en el exterior (FOB y SPOT), a las ventas nacionales, y a las operaciones con financiación (factoring). Su propósito es proteger el margen comercial y el flujo de caja de la compañía, no especular sobre la dirección de los mercados.</w:t>
      </w:r>
    </w:p>
    <w:p w14:paraId="5D754C75" w14:textId="77777777" w:rsidR="00054FE2" w:rsidRDefault="00000000">
      <w:pPr>
        <w:pStyle w:val="Heading1"/>
      </w:pPr>
      <w:bookmarkStart w:id="1" w:name="_Toc238748935"/>
      <w:r>
        <w:t>2. Resumen ejecutivo</w:t>
      </w:r>
      <w:bookmarkEnd w:id="1"/>
    </w:p>
    <w:p w14:paraId="78031904" w14:textId="77777777" w:rsidR="00054FE2" w:rsidRDefault="00000000">
      <w:pPr>
        <w:spacing w:after="120" w:line="276" w:lineRule="auto"/>
      </w:pPr>
      <w:r>
        <w:t>Los tres riesgos son de naturaleza distinta y se gestionan de forma distinta. La siguiente matriz resume las conclusiones de la política: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600"/>
        <w:gridCol w:w="3360"/>
      </w:tblGrid>
      <w:tr w:rsidR="00054FE2" w14:paraId="10EF172B" w14:textId="77777777">
        <w:tblPrEx>
          <w:tblCellMar>
            <w:top w:w="0" w:type="dxa"/>
            <w:bottom w:w="0" w:type="dxa"/>
          </w:tblCellMar>
        </w:tblPrEx>
        <w:trPr>
          <w:tblHeader/>
        </w:trPr>
        <w:tc>
          <w:tcPr>
            <w:tcW w:w="19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29E3999A" w14:textId="77777777" w:rsidR="00054FE2" w:rsidRDefault="00000000">
            <w:r>
              <w:rPr>
                <w:b/>
                <w:bCs/>
                <w:color w:val="FFFFFF"/>
                <w:sz w:val="19"/>
                <w:szCs w:val="19"/>
              </w:rPr>
              <w:t>Riesgo</w:t>
            </w:r>
          </w:p>
        </w:tc>
        <w:tc>
          <w:tcPr>
            <w:tcW w:w="15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1B88790C" w14:textId="77777777" w:rsidR="00054FE2" w:rsidRDefault="00000000">
            <w:r>
              <w:rPr>
                <w:b/>
                <w:bCs/>
                <w:color w:val="FFFFFF"/>
                <w:sz w:val="19"/>
                <w:szCs w:val="19"/>
              </w:rPr>
              <w:t>¿Cubrible?</w:t>
            </w:r>
          </w:p>
        </w:tc>
        <w:tc>
          <w:tcPr>
            <w:tcW w:w="26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5D987B81" w14:textId="77777777" w:rsidR="00054FE2" w:rsidRDefault="00000000">
            <w:r>
              <w:rPr>
                <w:b/>
                <w:bCs/>
                <w:color w:val="FFFFFF"/>
                <w:sz w:val="19"/>
                <w:szCs w:val="19"/>
              </w:rPr>
              <w:t>Instrumento</w:t>
            </w:r>
          </w:p>
        </w:tc>
        <w:tc>
          <w:tcPr>
            <w:tcW w:w="336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3DC6DBE8" w14:textId="77777777" w:rsidR="00054FE2" w:rsidRDefault="00000000">
            <w:r>
              <w:rPr>
                <w:b/>
                <w:bCs/>
                <w:color w:val="FFFFFF"/>
                <w:sz w:val="19"/>
                <w:szCs w:val="19"/>
              </w:rPr>
              <w:t>Gestión</w:t>
            </w:r>
          </w:p>
        </w:tc>
      </w:tr>
      <w:tr w:rsidR="00054FE2" w14:paraId="5CF2EB1E" w14:textId="77777777">
        <w:tblPrEx>
          <w:tblCellMar>
            <w:top w:w="0" w:type="dxa"/>
            <w:bottom w:w="0" w:type="dxa"/>
          </w:tblCellMar>
        </w:tblPrEx>
        <w:tc>
          <w:tcPr>
            <w:tcW w:w="19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3F5895D4" w14:textId="77777777" w:rsidR="00054FE2" w:rsidRDefault="00000000">
            <w:pPr>
              <w:spacing w:line="260" w:lineRule="auto"/>
            </w:pPr>
            <w:r>
              <w:rPr>
                <w:sz w:val="19"/>
                <w:szCs w:val="19"/>
              </w:rPr>
              <w:t>Precio — Contrato «C»</w:t>
            </w:r>
          </w:p>
        </w:tc>
        <w:tc>
          <w:tcPr>
            <w:tcW w:w="15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4478AB40" w14:textId="77777777" w:rsidR="00054FE2" w:rsidRDefault="00000000">
            <w:pPr>
              <w:spacing w:line="260" w:lineRule="auto"/>
            </w:pPr>
            <w:r>
              <w:rPr>
                <w:sz w:val="19"/>
                <w:szCs w:val="19"/>
              </w:rPr>
              <w:t>Sí</w:t>
            </w:r>
          </w:p>
        </w:tc>
        <w:tc>
          <w:tcPr>
            <w:tcW w:w="26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644E89CB" w14:textId="77777777" w:rsidR="00054FE2" w:rsidRDefault="00000000">
            <w:pPr>
              <w:spacing w:line="260" w:lineRule="auto"/>
            </w:pPr>
            <w:r>
              <w:rPr>
                <w:sz w:val="19"/>
                <w:szCs w:val="19"/>
              </w:rPr>
              <w:t>Futuros KC; opciones (put/collar)</w:t>
            </w:r>
          </w:p>
        </w:tc>
        <w:tc>
          <w:tcPr>
            <w:tcW w:w="33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34091EE4" w14:textId="77777777" w:rsidR="00054FE2" w:rsidRDefault="00000000">
            <w:pPr>
              <w:spacing w:line="260" w:lineRule="auto"/>
            </w:pPr>
            <w:r>
              <w:rPr>
                <w:sz w:val="19"/>
                <w:szCs w:val="19"/>
              </w:rPr>
              <w:t>Cobertura ~1:1 sobre la posición física, neteando compra/venta. Riesgo clave: liquidez por llamados a margen.</w:t>
            </w:r>
          </w:p>
        </w:tc>
      </w:tr>
      <w:tr w:rsidR="00054FE2" w14:paraId="5A7AC4A4" w14:textId="77777777">
        <w:tblPrEx>
          <w:tblCellMar>
            <w:top w:w="0" w:type="dxa"/>
            <w:bottom w:w="0" w:type="dxa"/>
          </w:tblCellMar>
        </w:tblPrEx>
        <w:tc>
          <w:tcPr>
            <w:tcW w:w="19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6E32B304" w14:textId="77777777" w:rsidR="00054FE2" w:rsidRDefault="00000000">
            <w:pPr>
              <w:spacing w:line="260" w:lineRule="auto"/>
            </w:pPr>
            <w:r>
              <w:rPr>
                <w:sz w:val="19"/>
                <w:szCs w:val="19"/>
              </w:rPr>
              <w:t>Diferencial de origen</w:t>
            </w:r>
          </w:p>
        </w:tc>
        <w:tc>
          <w:tcPr>
            <w:tcW w:w="15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2A0A877B" w14:textId="77777777" w:rsidR="00054FE2" w:rsidRDefault="00000000">
            <w:pPr>
              <w:spacing w:line="260" w:lineRule="auto"/>
            </w:pPr>
            <w:r>
              <w:rPr>
                <w:sz w:val="19"/>
                <w:szCs w:val="19"/>
              </w:rPr>
              <w:t>No</w:t>
            </w:r>
          </w:p>
        </w:tc>
        <w:tc>
          <w:tcPr>
            <w:tcW w:w="26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70FC4A3B" w14:textId="77777777" w:rsidR="00054FE2" w:rsidRDefault="00000000">
            <w:pPr>
              <w:spacing w:line="260" w:lineRule="auto"/>
            </w:pPr>
            <w:r>
              <w:rPr>
                <w:sz w:val="19"/>
                <w:szCs w:val="19"/>
              </w:rPr>
              <w:t>No existe instrumento líquido</w:t>
            </w:r>
          </w:p>
        </w:tc>
        <w:tc>
          <w:tcPr>
            <w:tcW w:w="336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19B89D64" w14:textId="77777777" w:rsidR="00054FE2" w:rsidRDefault="00000000">
            <w:pPr>
              <w:spacing w:line="260" w:lineRule="auto"/>
            </w:pPr>
            <w:r>
              <w:rPr>
                <w:sz w:val="19"/>
                <w:szCs w:val="19"/>
              </w:rPr>
              <w:t>Gestión 100% operativa: calce de ambas puntas (PTBF), límites de exposición abierta y de plazo, diversificación.</w:t>
            </w:r>
          </w:p>
        </w:tc>
      </w:tr>
      <w:tr w:rsidR="00054FE2" w14:paraId="59D19F02" w14:textId="77777777">
        <w:tblPrEx>
          <w:tblCellMar>
            <w:top w:w="0" w:type="dxa"/>
            <w:bottom w:w="0" w:type="dxa"/>
          </w:tblCellMar>
        </w:tblPrEx>
        <w:tc>
          <w:tcPr>
            <w:tcW w:w="19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32D6B413" w14:textId="77777777" w:rsidR="00054FE2" w:rsidRDefault="00000000">
            <w:pPr>
              <w:spacing w:line="260" w:lineRule="auto"/>
            </w:pPr>
            <w:r>
              <w:rPr>
                <w:sz w:val="19"/>
                <w:szCs w:val="19"/>
              </w:rPr>
              <w:t>Cambiario — TRM</w:t>
            </w:r>
          </w:p>
        </w:tc>
        <w:tc>
          <w:tcPr>
            <w:tcW w:w="15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71C71757" w14:textId="77777777" w:rsidR="00054FE2" w:rsidRDefault="00000000">
            <w:pPr>
              <w:spacing w:line="260" w:lineRule="auto"/>
            </w:pPr>
            <w:r>
              <w:rPr>
                <w:sz w:val="19"/>
                <w:szCs w:val="19"/>
              </w:rPr>
              <w:t>Sí</w:t>
            </w:r>
          </w:p>
        </w:tc>
        <w:tc>
          <w:tcPr>
            <w:tcW w:w="26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7DD747A8" w14:textId="77777777" w:rsidR="00054FE2" w:rsidRDefault="00000000">
            <w:pPr>
              <w:spacing w:line="260" w:lineRule="auto"/>
            </w:pPr>
            <w:r>
              <w:rPr>
                <w:sz w:val="19"/>
                <w:szCs w:val="19"/>
              </w:rPr>
              <w:t>Forward / NDF USD-COP; opciones</w:t>
            </w:r>
          </w:p>
        </w:tc>
        <w:tc>
          <w:tcPr>
            <w:tcW w:w="33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46E4FD2E" w14:textId="77777777" w:rsidR="00054FE2" w:rsidRDefault="00000000">
            <w:pPr>
              <w:spacing w:line="260" w:lineRule="auto"/>
            </w:pPr>
            <w:r>
              <w:rPr>
                <w:sz w:val="19"/>
                <w:szCs w:val="19"/>
              </w:rPr>
              <w:t>Nace al fijar la compra en COP. Cubrir el margen (no el nocional), con vencimiento al recaudo. Política dinámica por banda de TRM.</w:t>
            </w:r>
          </w:p>
        </w:tc>
      </w:tr>
    </w:tbl>
    <w:p w14:paraId="59CDECA3" w14:textId="77777777" w:rsidR="00054FE2" w:rsidRDefault="00054FE2">
      <w:pPr>
        <w:spacing w:after="80"/>
      </w:pPr>
    </w:p>
    <w:tbl>
      <w:tblPr>
        <w:tblW w:w="9360" w:type="dxa"/>
        <w:tblBorders>
          <w:top w:val="single" w:sz="2" w:space="0" w:color="EFEBE1"/>
          <w:left w:val="single" w:sz="24" w:space="0" w:color="1A383F"/>
          <w:bottom w:val="single" w:sz="2" w:space="0" w:color="EFEBE1"/>
          <w:right w:val="single" w:sz="2" w:space="0" w:color="EFEB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FE2" w14:paraId="4B67EBBF" w14:textId="77777777">
        <w:tblPrEx>
          <w:tblCellMar>
            <w:top w:w="0" w:type="dxa"/>
            <w:bottom w:w="0" w:type="dxa"/>
          </w:tblCellMar>
        </w:tblPrEx>
        <w:tc>
          <w:tcPr>
            <w:tcW w:w="9360" w:type="dxa"/>
            <w:shd w:val="clear" w:color="auto" w:fill="EFEBE1"/>
            <w:tcMar>
              <w:top w:w="140" w:type="dxa"/>
              <w:left w:w="220" w:type="dxa"/>
              <w:bottom w:w="140" w:type="dxa"/>
              <w:right w:w="200" w:type="dxa"/>
            </w:tcMar>
          </w:tcPr>
          <w:p w14:paraId="4BFC0C0B" w14:textId="77777777" w:rsidR="00054FE2" w:rsidRDefault="00000000">
            <w:pPr>
              <w:spacing w:after="40"/>
            </w:pPr>
            <w:r>
              <w:rPr>
                <w:b/>
                <w:bCs/>
                <w:caps/>
                <w:color w:val="1A383F"/>
                <w:sz w:val="18"/>
                <w:szCs w:val="18"/>
              </w:rPr>
              <w:t>Conclusión central</w:t>
            </w:r>
          </w:p>
          <w:p w14:paraId="1F66F23E" w14:textId="77777777" w:rsidR="00054FE2" w:rsidRDefault="00000000">
            <w:pPr>
              <w:spacing w:line="272" w:lineRule="auto"/>
            </w:pPr>
            <w:r>
              <w:t xml:space="preserve">Dos de los tres riesgos se cubren con instrumentos financieros (precio y FX); el </w:t>
            </w:r>
            <w:r>
              <w:rPr>
                <w:b/>
                <w:bCs/>
              </w:rPr>
              <w:t>diferencial no es cubrible</w:t>
            </w:r>
            <w:r>
              <w:t xml:space="preserve"> y se neutraliza operativamente. El mayor riesgo del programa de coberturas no es de precio, sino de </w:t>
            </w:r>
            <w:r>
              <w:rPr>
                <w:b/>
                <w:bCs/>
              </w:rPr>
              <w:t>liquidez (llamados a margen)</w:t>
            </w:r>
            <w:r>
              <w:t xml:space="preserve">. La cobertura cambiaria protege el </w:t>
            </w:r>
            <w:r>
              <w:rPr>
                <w:b/>
                <w:bCs/>
              </w:rPr>
              <w:t>margen y los costos fijos en COP</w:t>
            </w:r>
            <w:r>
              <w:t>, no el valor total del contenedor.</w:t>
            </w:r>
          </w:p>
        </w:tc>
      </w:tr>
    </w:tbl>
    <w:p w14:paraId="331C40BB" w14:textId="77777777" w:rsidR="00DA127E" w:rsidRDefault="00DA127E">
      <w:pPr>
        <w:pStyle w:val="Heading1"/>
      </w:pPr>
      <w:bookmarkStart w:id="2" w:name="_Toc238748936"/>
    </w:p>
    <w:p w14:paraId="42D44B69" w14:textId="77777777" w:rsidR="00DA127E" w:rsidRDefault="00DA127E">
      <w:pPr>
        <w:pStyle w:val="Heading1"/>
      </w:pPr>
    </w:p>
    <w:p w14:paraId="281806FF" w14:textId="77777777" w:rsidR="00DA127E" w:rsidRDefault="00DA127E">
      <w:pPr>
        <w:pStyle w:val="Heading1"/>
      </w:pPr>
    </w:p>
    <w:p w14:paraId="402BD8F4" w14:textId="77777777" w:rsidR="00DA127E" w:rsidRDefault="00DA127E">
      <w:pPr>
        <w:pStyle w:val="Heading1"/>
      </w:pPr>
    </w:p>
    <w:p w14:paraId="6CCBD334" w14:textId="3CD13004" w:rsidR="00054FE2" w:rsidRDefault="00000000">
      <w:pPr>
        <w:pStyle w:val="Heading1"/>
      </w:pPr>
      <w:r>
        <w:t>3. Principios rectores</w:t>
      </w:r>
      <w:bookmarkEnd w:id="2"/>
    </w:p>
    <w:p w14:paraId="62726368" w14:textId="77777777" w:rsidR="00054FE2" w:rsidRDefault="00000000">
      <w:pPr>
        <w:pStyle w:val="ListParagraph"/>
        <w:numPr>
          <w:ilvl w:val="0"/>
          <w:numId w:val="2"/>
        </w:numPr>
        <w:spacing w:after="70" w:line="268" w:lineRule="auto"/>
      </w:pPr>
      <w:r>
        <w:rPr>
          <w:b/>
          <w:bCs/>
        </w:rPr>
        <w:t xml:space="preserve">Separar los tres riesgos: </w:t>
      </w:r>
      <w:r>
        <w:t>precio, diferencial y cambiario se identifican, miden y gestionan por separado; nunca se confunden ni se sobre-cubren.</w:t>
      </w:r>
    </w:p>
    <w:p w14:paraId="595C6DD0" w14:textId="77777777" w:rsidR="00054FE2" w:rsidRDefault="00000000">
      <w:pPr>
        <w:pStyle w:val="ListParagraph"/>
        <w:numPr>
          <w:ilvl w:val="0"/>
          <w:numId w:val="2"/>
        </w:numPr>
        <w:spacing w:after="70" w:line="268" w:lineRule="auto"/>
      </w:pPr>
      <w:r>
        <w:rPr>
          <w:b/>
          <w:bCs/>
        </w:rPr>
        <w:t xml:space="preserve">Cubrir, no especular: </w:t>
      </w:r>
      <w:r>
        <w:t>el objetivo es blindar el margen y el flujo de caja. Toda posición de derivados debe corresponder a una exposición física o comprometida real.</w:t>
      </w:r>
    </w:p>
    <w:p w14:paraId="49EDA705" w14:textId="77777777" w:rsidR="00054FE2" w:rsidRDefault="00000000">
      <w:pPr>
        <w:pStyle w:val="ListParagraph"/>
        <w:numPr>
          <w:ilvl w:val="0"/>
          <w:numId w:val="2"/>
        </w:numPr>
        <w:spacing w:after="70" w:line="268" w:lineRule="auto"/>
      </w:pPr>
      <w:r>
        <w:rPr>
          <w:b/>
          <w:bCs/>
        </w:rPr>
        <w:t xml:space="preserve">Cubrir el margen, no el nocional: </w:t>
      </w:r>
      <w:r>
        <w:t>se cubre el monto expuesto (margen y costos fijos en COP), no el 100% del valor de la operación.</w:t>
      </w:r>
    </w:p>
    <w:p w14:paraId="3D2D3838" w14:textId="77777777" w:rsidR="00054FE2" w:rsidRDefault="00000000">
      <w:pPr>
        <w:pStyle w:val="ListParagraph"/>
        <w:numPr>
          <w:ilvl w:val="0"/>
          <w:numId w:val="2"/>
        </w:numPr>
        <w:spacing w:after="70" w:line="268" w:lineRule="auto"/>
      </w:pPr>
      <w:r>
        <w:rPr>
          <w:b/>
          <w:bCs/>
        </w:rPr>
        <w:t xml:space="preserve">Sincronizar con el flujo real: </w:t>
      </w:r>
      <w:r>
        <w:t>las coberturas se abren cuando nace la exposición y vencen cuando se liquida (recaudo / entrega física).</w:t>
      </w:r>
    </w:p>
    <w:p w14:paraId="0AD2882D" w14:textId="77777777" w:rsidR="00054FE2" w:rsidRDefault="00000000">
      <w:pPr>
        <w:pStyle w:val="ListParagraph"/>
        <w:numPr>
          <w:ilvl w:val="0"/>
          <w:numId w:val="2"/>
        </w:numPr>
        <w:spacing w:after="70" w:line="268" w:lineRule="auto"/>
      </w:pPr>
      <w:r>
        <w:rPr>
          <w:b/>
          <w:bCs/>
        </w:rPr>
        <w:t xml:space="preserve">Gobierno y disciplina: </w:t>
      </w:r>
      <w:r>
        <w:t>política escrita, límites por escrito, control de cupos de crédito y comité de riesgo. La disciplina es lo que separa una estrategia responsable de una especulación disfrazada de cobertura.</w:t>
      </w:r>
    </w:p>
    <w:p w14:paraId="49BED2EE" w14:textId="77777777" w:rsidR="00054FE2" w:rsidRDefault="00000000">
      <w:pPr>
        <w:pStyle w:val="Heading1"/>
        <w:pageBreakBefore/>
      </w:pPr>
      <w:bookmarkStart w:id="3" w:name="_Toc238748937"/>
      <w:r>
        <w:lastRenderedPageBreak/>
        <w:t>4. Riesgo de Precio del Café (Contrato «C»)</w:t>
      </w:r>
      <w:bookmarkEnd w:id="3"/>
    </w:p>
    <w:p w14:paraId="38AED139" w14:textId="77777777" w:rsidR="00054FE2" w:rsidRDefault="00000000">
      <w:pPr>
        <w:pStyle w:val="Heading2"/>
      </w:pPr>
      <w:bookmarkStart w:id="4" w:name="_Toc238748938"/>
      <w:r>
        <w:t>4.1 Definición y cuándo nace</w:t>
      </w:r>
      <w:bookmarkEnd w:id="4"/>
    </w:p>
    <w:p w14:paraId="259D4C9A" w14:textId="77777777" w:rsidR="00054FE2" w:rsidRDefault="00000000">
      <w:pPr>
        <w:spacing w:after="120" w:line="276" w:lineRule="auto"/>
      </w:pPr>
      <w:r>
        <w:t>El precio del café se cotiza en el Contrato «C» de ICE (café suave arábico, US¢/lb). Es la variable más volátil del negocio. El riesgo nace en el instante en que se fija el precio de una punta (compra o venta) sin la otra: al comprar físico se queda largo (pierde si el «C» baja); al vender físico se queda corto (pierde si el «C» sube).</w:t>
      </w:r>
    </w:p>
    <w:p w14:paraId="1E908212" w14:textId="77777777" w:rsidR="00054FE2" w:rsidRDefault="00000000">
      <w:pPr>
        <w:pStyle w:val="Heading2"/>
      </w:pPr>
      <w:bookmarkStart w:id="5" w:name="_Toc238748939"/>
      <w:r>
        <w:t>4.2 Conclusión</w:t>
      </w:r>
      <w:bookmarkEnd w:id="5"/>
    </w:p>
    <w:tbl>
      <w:tblPr>
        <w:tblW w:w="9360" w:type="dxa"/>
        <w:tblBorders>
          <w:top w:val="single" w:sz="2" w:space="0" w:color="EEF5F0"/>
          <w:left w:val="single" w:sz="24" w:space="0" w:color="2F6B4F"/>
          <w:bottom w:val="single" w:sz="2" w:space="0" w:color="EEF5F0"/>
          <w:right w:val="single" w:sz="2" w:space="0" w:color="EEF5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FE2" w14:paraId="039BAFA5" w14:textId="77777777">
        <w:tblPrEx>
          <w:tblCellMar>
            <w:top w:w="0" w:type="dxa"/>
            <w:bottom w:w="0" w:type="dxa"/>
          </w:tblCellMar>
        </w:tblPrEx>
        <w:tc>
          <w:tcPr>
            <w:tcW w:w="9360" w:type="dxa"/>
            <w:shd w:val="clear" w:color="auto" w:fill="EEF5F0"/>
            <w:tcMar>
              <w:top w:w="140" w:type="dxa"/>
              <w:left w:w="220" w:type="dxa"/>
              <w:bottom w:w="140" w:type="dxa"/>
              <w:right w:w="200" w:type="dxa"/>
            </w:tcMar>
          </w:tcPr>
          <w:p w14:paraId="28DAA304" w14:textId="77777777" w:rsidR="00054FE2" w:rsidRDefault="00000000">
            <w:pPr>
              <w:spacing w:after="40"/>
            </w:pPr>
            <w:r>
              <w:rPr>
                <w:b/>
                <w:bCs/>
                <w:caps/>
                <w:color w:val="2F6B4F"/>
                <w:sz w:val="18"/>
                <w:szCs w:val="18"/>
              </w:rPr>
              <w:t>Cubrible — SÍ</w:t>
            </w:r>
          </w:p>
          <w:p w14:paraId="66AC85F3" w14:textId="77777777" w:rsidR="00054FE2" w:rsidRDefault="00000000">
            <w:pPr>
              <w:spacing w:line="272" w:lineRule="auto"/>
            </w:pPr>
            <w:r>
              <w:t xml:space="preserve">El riesgo de precio </w:t>
            </w:r>
            <w:r>
              <w:rPr>
                <w:b/>
                <w:bCs/>
              </w:rPr>
              <w:t>se cubre con futuros KC</w:t>
            </w:r>
            <w:r>
              <w:t xml:space="preserve"> en una relación aproximada 1:1 sobre la posición física, neteando la pata de compra contra la de venta. Es la práctica estándar de toda casa comercializadora de café.</w:t>
            </w:r>
          </w:p>
        </w:tc>
      </w:tr>
    </w:tbl>
    <w:p w14:paraId="06AE03CB" w14:textId="77777777" w:rsidR="00054FE2" w:rsidRDefault="00000000">
      <w:pPr>
        <w:pStyle w:val="Heading2"/>
      </w:pPr>
      <w:bookmarkStart w:id="6" w:name="_Toc238748940"/>
      <w:r>
        <w:t>4.3 Coberturas aplicables</w:t>
      </w:r>
      <w:bookmarkEnd w:id="6"/>
    </w:p>
    <w:p w14:paraId="5CD434B9" w14:textId="77777777" w:rsidR="00054FE2" w:rsidRDefault="00000000">
      <w:pPr>
        <w:pStyle w:val="ListParagraph"/>
        <w:numPr>
          <w:ilvl w:val="0"/>
          <w:numId w:val="2"/>
        </w:numPr>
        <w:spacing w:after="70" w:line="268" w:lineRule="auto"/>
      </w:pPr>
      <w:r>
        <w:rPr>
          <w:b/>
          <w:bCs/>
        </w:rPr>
        <w:t xml:space="preserve">Futuros KC (short/long hedge): </w:t>
      </w:r>
      <w:r>
        <w:t>con café comprado se venden futuros; en un back-to-back donde se vende primero y aún no se compra, se compran futuros hasta abastecerse. 1 lote KC = 37.500 lb.</w:t>
      </w:r>
    </w:p>
    <w:p w14:paraId="53F77CF7" w14:textId="77777777" w:rsidR="00054FE2" w:rsidRDefault="00000000">
      <w:pPr>
        <w:pStyle w:val="ListParagraph"/>
        <w:numPr>
          <w:ilvl w:val="0"/>
          <w:numId w:val="2"/>
        </w:numPr>
        <w:spacing w:after="70" w:line="268" w:lineRule="auto"/>
      </w:pPr>
      <w:r>
        <w:rPr>
          <w:b/>
          <w:bCs/>
        </w:rPr>
        <w:t xml:space="preserve">Opciones (puts y collars): </w:t>
      </w:r>
      <w:r>
        <w:t>un put da piso de precio sin llamados a margen (a cambio de una prima); un collar (put comprado + call vendido) abarata la protección. Útil cuando se quiere limitar la exposición de caja.</w:t>
      </w:r>
    </w:p>
    <w:p w14:paraId="5881EED0" w14:textId="77777777" w:rsidR="00054FE2" w:rsidRDefault="00000000">
      <w:pPr>
        <w:pStyle w:val="Heading2"/>
      </w:pPr>
      <w:bookmarkStart w:id="7" w:name="_Toc238748941"/>
      <w:r>
        <w:t>4.4 Reglas operativas</w:t>
      </w:r>
      <w:bookmarkEnd w:id="7"/>
    </w:p>
    <w:p w14:paraId="0BB38EA9" w14:textId="77777777" w:rsidR="00054FE2" w:rsidRDefault="00000000">
      <w:pPr>
        <w:pStyle w:val="ListParagraph"/>
        <w:numPr>
          <w:ilvl w:val="0"/>
          <w:numId w:val="2"/>
        </w:numPr>
        <w:spacing w:after="70" w:line="268" w:lineRule="auto"/>
      </w:pPr>
      <w:r>
        <w:rPr>
          <w:b/>
          <w:bCs/>
        </w:rPr>
        <w:t xml:space="preserve">Ratio ~1:1 por lote físico </w:t>
      </w:r>
      <w:r>
        <w:t>contra el mes «C» más cercano posterior al embarque; cobertura trazable por Cliente / Pedido / Lote OIC.</w:t>
      </w:r>
    </w:p>
    <w:p w14:paraId="0274AEDB" w14:textId="77777777" w:rsidR="00054FE2" w:rsidRDefault="00000000">
      <w:pPr>
        <w:pStyle w:val="ListParagraph"/>
        <w:numPr>
          <w:ilvl w:val="0"/>
          <w:numId w:val="2"/>
        </w:numPr>
        <w:spacing w:after="70" w:line="268" w:lineRule="auto"/>
      </w:pPr>
      <w:r>
        <w:rPr>
          <w:b/>
          <w:bCs/>
        </w:rPr>
        <w:t xml:space="preserve">Roll antes del First Notice Day (FND): </w:t>
      </w:r>
      <w:r>
        <w:t>nunca sostener futuros en el mes de entrega; rolar al mes siguiente varios días hábiles antes del FND.</w:t>
      </w:r>
    </w:p>
    <w:p w14:paraId="5164C9A5" w14:textId="77777777" w:rsidR="00054FE2" w:rsidRDefault="00000000">
      <w:pPr>
        <w:pStyle w:val="ListParagraph"/>
        <w:numPr>
          <w:ilvl w:val="0"/>
          <w:numId w:val="2"/>
        </w:numPr>
        <w:spacing w:after="70" w:line="268" w:lineRule="auto"/>
      </w:pPr>
      <w:r>
        <w:rPr>
          <w:b/>
          <w:bCs/>
        </w:rPr>
        <w:t xml:space="preserve">Provisión de caja para variation margin: </w:t>
      </w:r>
      <w:r>
        <w:t>un movimiento adverso exige margen diario que puede alcanzar cientos de miles de USD en 24 horas. Mantener una línea de financiación de margen con el bróker (Hedge Point / StoneX) y presupuestar el peor caso en el flujo de caja.</w:t>
      </w:r>
    </w:p>
    <w:p w14:paraId="2298A0BA" w14:textId="77777777" w:rsidR="00054FE2" w:rsidRDefault="00000000">
      <w:pPr>
        <w:pStyle w:val="ListParagraph"/>
        <w:numPr>
          <w:ilvl w:val="0"/>
          <w:numId w:val="2"/>
        </w:numPr>
        <w:spacing w:after="70" w:line="268" w:lineRule="auto"/>
      </w:pPr>
      <w:r>
        <w:rPr>
          <w:b/>
          <w:bCs/>
        </w:rPr>
        <w:t xml:space="preserve">Mark-to-market diario </w:t>
      </w:r>
      <w:r>
        <w:t>de la posición neta (físico + futuros + opciones) y límites de posición abierta descubierta.</w:t>
      </w:r>
    </w:p>
    <w:p w14:paraId="545ACB9F" w14:textId="77777777" w:rsidR="00054FE2" w:rsidRDefault="00000000">
      <w:pPr>
        <w:pStyle w:val="Heading2"/>
      </w:pPr>
      <w:bookmarkStart w:id="8" w:name="_Toc238748942"/>
      <w:r>
        <w:t>4.5 Prácticas de referencia del mercado</w:t>
      </w:r>
      <w:bookmarkEnd w:id="8"/>
    </w:p>
    <w:p w14:paraId="3A427A9D" w14:textId="77777777" w:rsidR="00054FE2" w:rsidRDefault="00000000">
      <w:pPr>
        <w:spacing w:after="120" w:line="276" w:lineRule="auto"/>
      </w:pPr>
      <w:r>
        <w:t xml:space="preserve">El </w:t>
      </w:r>
      <w:r>
        <w:rPr>
          <w:i/>
          <w:iCs/>
        </w:rPr>
        <w:t>short hedge sobre físico</w:t>
      </w:r>
      <w:r>
        <w:t xml:space="preserve"> y la separación entre flat price (cubrible) y diferencial (no cubrible) son el estándar documentado por la Guía del Exportador de Café del ITC y por ICE. Las grandes casas (ECOM, Louis Dreyfus, Volcafe, Sucafina, Neumann) operan bajo mark-to-market diario y límites de posición. El hallazgo más relevante de la práctica internacional: el mayor riesgo del hedge físico es de liquidez (margin calls), no de precio — por eso se recomienda una línea de margen o el uso de opciones/OTC sin margining (Rabobank, StoneX).</w:t>
      </w:r>
    </w:p>
    <w:p w14:paraId="2366A96F" w14:textId="77777777" w:rsidR="00054FE2" w:rsidRDefault="00000000">
      <w:pPr>
        <w:pStyle w:val="Heading1"/>
        <w:pageBreakBefore/>
      </w:pPr>
      <w:bookmarkStart w:id="9" w:name="_Toc238748943"/>
      <w:r>
        <w:lastRenderedPageBreak/>
        <w:t>5. Riesgo de Diferencial de Origen (Basis)</w:t>
      </w:r>
      <w:bookmarkEnd w:id="9"/>
    </w:p>
    <w:p w14:paraId="347EDD58" w14:textId="77777777" w:rsidR="00054FE2" w:rsidRDefault="00000000">
      <w:pPr>
        <w:pStyle w:val="Heading2"/>
      </w:pPr>
      <w:bookmarkStart w:id="10" w:name="_Toc238748944"/>
      <w:r>
        <w:t>5.1 Definición</w:t>
      </w:r>
      <w:bookmarkEnd w:id="10"/>
    </w:p>
    <w:p w14:paraId="01FE4088" w14:textId="77777777" w:rsidR="00054FE2" w:rsidRDefault="00000000">
      <w:pPr>
        <w:spacing w:after="120" w:line="276" w:lineRule="auto"/>
      </w:pPr>
      <w:r>
        <w:t>El diferencial es la prima (US¢/lb) que paga el mercado internacional por el café colombiano frente al estándar del Contrato «C». Depende de la calidad, la disponibilidad física del origen y los términos de entrega. Es mucho menos volátil que el «C», pero puede tener movimientos fuertes (el diferencial del lavado colombiano superó 70 US¢/lb en jul-2026).</w:t>
      </w:r>
    </w:p>
    <w:p w14:paraId="11FE406E" w14:textId="77777777" w:rsidR="00054FE2" w:rsidRDefault="00000000">
      <w:pPr>
        <w:pStyle w:val="Heading2"/>
      </w:pPr>
      <w:bookmarkStart w:id="11" w:name="_Toc238748945"/>
      <w:r>
        <w:t>5.2 Conclusión</w:t>
      </w:r>
      <w:bookmarkEnd w:id="11"/>
    </w:p>
    <w:tbl>
      <w:tblPr>
        <w:tblW w:w="9360" w:type="dxa"/>
        <w:tblBorders>
          <w:top w:val="single" w:sz="2" w:space="0" w:color="FBF1EC"/>
          <w:left w:val="single" w:sz="24" w:space="0" w:color="B4522E"/>
          <w:bottom w:val="single" w:sz="2" w:space="0" w:color="FBF1EC"/>
          <w:right w:val="single" w:sz="2" w:space="0" w:color="FBF1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FE2" w14:paraId="6FCC64F4" w14:textId="77777777">
        <w:tblPrEx>
          <w:tblCellMar>
            <w:top w:w="0" w:type="dxa"/>
            <w:bottom w:w="0" w:type="dxa"/>
          </w:tblCellMar>
        </w:tblPrEx>
        <w:tc>
          <w:tcPr>
            <w:tcW w:w="9360" w:type="dxa"/>
            <w:shd w:val="clear" w:color="auto" w:fill="FBF1EC"/>
            <w:tcMar>
              <w:top w:w="140" w:type="dxa"/>
              <w:left w:w="220" w:type="dxa"/>
              <w:bottom w:w="140" w:type="dxa"/>
              <w:right w:w="200" w:type="dxa"/>
            </w:tcMar>
          </w:tcPr>
          <w:p w14:paraId="61FA7714" w14:textId="77777777" w:rsidR="00054FE2" w:rsidRDefault="00000000">
            <w:pPr>
              <w:spacing w:after="40"/>
            </w:pPr>
            <w:r>
              <w:rPr>
                <w:b/>
                <w:bCs/>
                <w:caps/>
                <w:color w:val="B4522E"/>
                <w:sz w:val="18"/>
                <w:szCs w:val="18"/>
              </w:rPr>
              <w:t>Cubrible — NO</w:t>
            </w:r>
          </w:p>
          <w:p w14:paraId="60B7372B" w14:textId="77777777" w:rsidR="00054FE2" w:rsidRDefault="00000000">
            <w:pPr>
              <w:spacing w:line="272" w:lineRule="auto"/>
            </w:pPr>
            <w:r>
              <w:t xml:space="preserve">Según la fuente más autoritativa del sector (ITC), </w:t>
            </w:r>
            <w:r>
              <w:rPr>
                <w:b/>
                <w:bCs/>
              </w:rPr>
              <w:t>no existe un instrumento o mercado líquido para cubrir el diferencial</w:t>
            </w:r>
            <w:r>
              <w:t>. Al cubrir con futuros solo se cubre el precio «C», no el diferencial. Por lo tanto, se gestiona de forma 100% operativa, no financiera.</w:t>
            </w:r>
          </w:p>
        </w:tc>
      </w:tr>
    </w:tbl>
    <w:p w14:paraId="0F49D9E8" w14:textId="77777777" w:rsidR="00054FE2" w:rsidRDefault="00000000">
      <w:pPr>
        <w:pStyle w:val="Heading2"/>
      </w:pPr>
      <w:bookmarkStart w:id="12" w:name="_Toc238748946"/>
      <w:r>
        <w:t>5.3 Soluciones (gestión operativa)</w:t>
      </w:r>
      <w:bookmarkEnd w:id="12"/>
    </w:p>
    <w:p w14:paraId="1F395719" w14:textId="77777777" w:rsidR="00054FE2" w:rsidRDefault="00000000">
      <w:pPr>
        <w:pStyle w:val="ListParagraph"/>
        <w:numPr>
          <w:ilvl w:val="0"/>
          <w:numId w:val="2"/>
        </w:numPr>
        <w:spacing w:after="70" w:line="268" w:lineRule="auto"/>
      </w:pPr>
      <w:r>
        <w:rPr>
          <w:b/>
          <w:bCs/>
        </w:rPr>
        <w:t xml:space="preserve">Calce de ambas puntas (matching / PTBF): </w:t>
      </w:r>
      <w:r>
        <w:t>fijar el diferencial de compra y el de venta, dejando abierto solo el precio «C» (que sí se cubre). Es el corazón del modelo de neteo.</w:t>
      </w:r>
    </w:p>
    <w:p w14:paraId="75CF2E4C" w14:textId="77777777" w:rsidR="00054FE2" w:rsidRDefault="00000000">
      <w:pPr>
        <w:pStyle w:val="ListParagraph"/>
        <w:numPr>
          <w:ilvl w:val="0"/>
          <w:numId w:val="2"/>
        </w:numPr>
        <w:spacing w:after="70" w:line="268" w:lineRule="auto"/>
      </w:pPr>
      <w:r>
        <w:rPr>
          <w:b/>
          <w:bCs/>
        </w:rPr>
        <w:t xml:space="preserve">Límite de diferencial abierto neto: </w:t>
      </w:r>
      <w:r>
        <w:t>un tope de volumen (sacos/lotes) comprado sin diferencial de venta fijado, y un límite de plazo de exposición (p. ej. 60–90 días), consistente con la práctica actual de vender a 2–3 meses.</w:t>
      </w:r>
    </w:p>
    <w:p w14:paraId="2830201C" w14:textId="77777777" w:rsidR="00054FE2" w:rsidRDefault="00000000">
      <w:pPr>
        <w:pStyle w:val="ListParagraph"/>
        <w:numPr>
          <w:ilvl w:val="0"/>
          <w:numId w:val="2"/>
        </w:numPr>
        <w:spacing w:after="70" w:line="268" w:lineRule="auto"/>
      </w:pPr>
      <w:r>
        <w:rPr>
          <w:b/>
          <w:bCs/>
        </w:rPr>
        <w:t xml:space="preserve">Cláusulas PTBF por escrito: </w:t>
      </w:r>
      <w:r>
        <w:t>cada contrato debe especificar mes y mercado de fijación, quién tiene el derecho de fijar y la ventana de fijación — para no regalar opcionalidad al comprador.</w:t>
      </w:r>
    </w:p>
    <w:p w14:paraId="594C8772" w14:textId="77777777" w:rsidR="00054FE2" w:rsidRDefault="00000000">
      <w:pPr>
        <w:pStyle w:val="ListParagraph"/>
        <w:numPr>
          <w:ilvl w:val="0"/>
          <w:numId w:val="2"/>
        </w:numPr>
        <w:spacing w:after="70" w:line="268" w:lineRule="auto"/>
      </w:pPr>
      <w:r>
        <w:rPr>
          <w:b/>
          <w:bCs/>
        </w:rPr>
        <w:t xml:space="preserve">Diversificación de orígenes y calidades </w:t>
      </w:r>
      <w:r>
        <w:t>para que un shock idiosincrásico de diferencial no golpee toda la cartera.</w:t>
      </w:r>
    </w:p>
    <w:p w14:paraId="67F4FFDF" w14:textId="77777777" w:rsidR="00054FE2" w:rsidRDefault="00000000">
      <w:pPr>
        <w:pStyle w:val="Heading2"/>
      </w:pPr>
      <w:bookmarkStart w:id="13" w:name="_Toc238748947"/>
      <w:r>
        <w:t>5.4 Prácticas de referencia del mercado</w:t>
      </w:r>
      <w:bookmarkEnd w:id="13"/>
    </w:p>
    <w:p w14:paraId="3D08F796" w14:textId="77777777" w:rsidR="00054FE2" w:rsidRDefault="00000000">
      <w:pPr>
        <w:spacing w:after="120" w:line="276" w:lineRule="auto"/>
      </w:pPr>
      <w:r>
        <w:t>La Guía del Exportador de Café del ITC confirma explícitamente que el diferencial no es cubrible con ningún instrumento establecido; las casas comercializadoras lo neutralizan calzando ambas puntas (PTBF), acotando plazos y diversificando. El enfoque actual de Equation (ventas a 2–3 meses) es correcto pero incompleto: falta formalizar los límites de diferencial abierto neto y las cláusulas de fijación PTBF.</w:t>
      </w:r>
    </w:p>
    <w:p w14:paraId="1C0F0CB6" w14:textId="77777777" w:rsidR="00054FE2" w:rsidRDefault="00000000">
      <w:pPr>
        <w:pStyle w:val="Heading1"/>
        <w:pageBreakBefore/>
      </w:pPr>
      <w:bookmarkStart w:id="14" w:name="_Toc238748948"/>
      <w:r>
        <w:lastRenderedPageBreak/>
        <w:t>6. Riesgo Cambiario (FX / TRM)</w:t>
      </w:r>
      <w:bookmarkEnd w:id="14"/>
    </w:p>
    <w:p w14:paraId="08676615" w14:textId="77777777" w:rsidR="00054FE2" w:rsidRDefault="00000000">
      <w:pPr>
        <w:pStyle w:val="Heading2"/>
      </w:pPr>
      <w:bookmarkStart w:id="15" w:name="_Toc238748949"/>
      <w:r>
        <w:t>6.1 Doctrina: cuándo nace el riesgo</w:t>
      </w:r>
      <w:bookmarkEnd w:id="15"/>
    </w:p>
    <w:p w14:paraId="01C3DD71" w14:textId="77777777" w:rsidR="00054FE2" w:rsidRDefault="00000000">
      <w:pPr>
        <w:spacing w:after="120" w:line="276" w:lineRule="auto"/>
      </w:pPr>
      <w:r>
        <w:t>La materia prima regional está dolarizada (el precio interno = «C» + diferencial + TRM; cerca del 90–95% de su valor proviene de variables en USD). En consecuencia, mientras el café no se ha comprado existe una cobertura natural: si el dólar sube, tanto el ingreso en COP como el costo de compra suben en proporción similar. El riesgo cambiario real nace cuando se rompe esa simetría, es decir, cuando se fija la compra en COP: en ese instante la compañía queda larga en USD (recaudo futuro del cliente) y corta en COP (pago fijo en Colombia).</w:t>
      </w:r>
    </w:p>
    <w:p w14:paraId="5212F92A" w14:textId="77777777" w:rsidR="00054FE2" w:rsidRDefault="00000000">
      <w:pPr>
        <w:spacing w:after="120" w:line="276" w:lineRule="auto"/>
      </w:pPr>
      <w:r>
        <w:t>La operación transcurre por tres hitos: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054FE2" w14:paraId="0FB40282" w14:textId="77777777">
        <w:tblPrEx>
          <w:tblCellMar>
            <w:top w:w="0" w:type="dxa"/>
            <w:bottom w:w="0" w:type="dxa"/>
          </w:tblCellMar>
        </w:tblPrEx>
        <w:trPr>
          <w:tblHeader/>
        </w:trPr>
        <w:tc>
          <w:tcPr>
            <w:tcW w:w="22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3CED942E" w14:textId="77777777" w:rsidR="00054FE2" w:rsidRDefault="00000000">
            <w:r>
              <w:rPr>
                <w:b/>
                <w:bCs/>
                <w:color w:val="FFFFFF"/>
                <w:sz w:val="19"/>
                <w:szCs w:val="19"/>
              </w:rPr>
              <w:t>Hito</w:t>
            </w:r>
          </w:p>
        </w:tc>
        <w:tc>
          <w:tcPr>
            <w:tcW w:w="34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015A83FA" w14:textId="77777777" w:rsidR="00054FE2" w:rsidRDefault="00000000">
            <w:r>
              <w:rPr>
                <w:b/>
                <w:bCs/>
                <w:color w:val="FFFFFF"/>
                <w:sz w:val="19"/>
                <w:szCs w:val="19"/>
              </w:rPr>
              <w:t>Riesgo activo</w:t>
            </w:r>
          </w:p>
        </w:tc>
        <w:tc>
          <w:tcPr>
            <w:tcW w:w="376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0885CA71" w14:textId="77777777" w:rsidR="00054FE2" w:rsidRDefault="00000000">
            <w:r>
              <w:rPr>
                <w:b/>
                <w:bCs/>
                <w:color w:val="FFFFFF"/>
                <w:sz w:val="19"/>
                <w:szCs w:val="19"/>
              </w:rPr>
              <w:t>Acción de cobertura</w:t>
            </w:r>
          </w:p>
        </w:tc>
      </w:tr>
      <w:tr w:rsidR="00054FE2" w14:paraId="63C9B209" w14:textId="77777777">
        <w:tblPrEx>
          <w:tblCellMar>
            <w:top w:w="0" w:type="dxa"/>
            <w:bottom w:w="0" w:type="dxa"/>
          </w:tblCellMar>
        </w:tblPrEx>
        <w:tc>
          <w:tcPr>
            <w:tcW w:w="22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07D0EFB6" w14:textId="77777777" w:rsidR="00054FE2" w:rsidRDefault="00000000">
            <w:pPr>
              <w:spacing w:line="260" w:lineRule="auto"/>
            </w:pPr>
            <w:r>
              <w:rPr>
                <w:sz w:val="19"/>
                <w:szCs w:val="19"/>
              </w:rPr>
              <w:t>1. Fijación de la venta (café por comprar)</w:t>
            </w:r>
          </w:p>
        </w:tc>
        <w:tc>
          <w:tcPr>
            <w:tcW w:w="34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7588D6F8" w14:textId="77777777" w:rsidR="00054FE2" w:rsidRDefault="00000000">
            <w:pPr>
              <w:spacing w:line="260" w:lineRule="auto"/>
            </w:pPr>
            <w:r>
              <w:rPr>
                <w:sz w:val="19"/>
                <w:szCs w:val="19"/>
              </w:rPr>
              <w:t>Precio / Commodity (Bolsa NY)</w:t>
            </w:r>
          </w:p>
        </w:tc>
        <w:tc>
          <w:tcPr>
            <w:tcW w:w="37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1DABD2FB" w14:textId="77777777" w:rsidR="00054FE2" w:rsidRDefault="00000000">
            <w:pPr>
              <w:spacing w:line="260" w:lineRule="auto"/>
            </w:pPr>
            <w:r>
              <w:rPr>
                <w:sz w:val="19"/>
                <w:szCs w:val="19"/>
              </w:rPr>
              <w:t>Cubrir con futuros KC si el precio es fijo. Sin riesgo cambiario (cobertura natural).</w:t>
            </w:r>
          </w:p>
        </w:tc>
      </w:tr>
      <w:tr w:rsidR="00054FE2" w14:paraId="4ACC0CCC" w14:textId="77777777">
        <w:tblPrEx>
          <w:tblCellMar>
            <w:top w:w="0" w:type="dxa"/>
            <w:bottom w:w="0" w:type="dxa"/>
          </w:tblCellMar>
        </w:tblPrEx>
        <w:tc>
          <w:tcPr>
            <w:tcW w:w="22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4BBFEEB7" w14:textId="77777777" w:rsidR="00054FE2" w:rsidRDefault="00000000">
            <w:pPr>
              <w:spacing w:line="260" w:lineRule="auto"/>
            </w:pPr>
            <w:r>
              <w:rPr>
                <w:sz w:val="19"/>
                <w:szCs w:val="19"/>
              </w:rPr>
              <w:t>2. Fijación de la compra (precio fijo en COP)</w:t>
            </w:r>
          </w:p>
        </w:tc>
        <w:tc>
          <w:tcPr>
            <w:tcW w:w="34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1D35CE74" w14:textId="77777777" w:rsidR="00054FE2" w:rsidRDefault="00000000">
            <w:pPr>
              <w:spacing w:line="260" w:lineRule="auto"/>
            </w:pPr>
            <w:r>
              <w:rPr>
                <w:sz w:val="19"/>
                <w:szCs w:val="19"/>
              </w:rPr>
              <w:t>Cambiario (TRM) — se abre aquí</w:t>
            </w:r>
          </w:p>
        </w:tc>
        <w:tc>
          <w:tcPr>
            <w:tcW w:w="376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343E082A" w14:textId="77777777" w:rsidR="00054FE2" w:rsidRDefault="00000000">
            <w:pPr>
              <w:spacing w:line="260" w:lineRule="auto"/>
            </w:pPr>
            <w:r>
              <w:rPr>
                <w:sz w:val="19"/>
                <w:szCs w:val="19"/>
              </w:rPr>
              <w:t>Pactar Forward de venta USD/COP por el nocional a cubrir, con vencimiento al recaudo.</w:t>
            </w:r>
          </w:p>
        </w:tc>
      </w:tr>
      <w:tr w:rsidR="00054FE2" w14:paraId="374CB1A2" w14:textId="77777777">
        <w:tblPrEx>
          <w:tblCellMar>
            <w:top w:w="0" w:type="dxa"/>
            <w:bottom w:w="0" w:type="dxa"/>
          </w:tblCellMar>
        </w:tblPrEx>
        <w:tc>
          <w:tcPr>
            <w:tcW w:w="22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1113CA46" w14:textId="77777777" w:rsidR="00054FE2" w:rsidRDefault="00000000">
            <w:pPr>
              <w:spacing w:line="260" w:lineRule="auto"/>
            </w:pPr>
            <w:r>
              <w:rPr>
                <w:sz w:val="19"/>
                <w:szCs w:val="19"/>
              </w:rPr>
              <w:t>3. Monetización (el cliente paga USD)</w:t>
            </w:r>
          </w:p>
        </w:tc>
        <w:tc>
          <w:tcPr>
            <w:tcW w:w="34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3F43A2F1" w14:textId="77777777" w:rsidR="00054FE2" w:rsidRDefault="00000000">
            <w:pPr>
              <w:spacing w:line="260" w:lineRule="auto"/>
            </w:pPr>
            <w:r>
              <w:rPr>
                <w:sz w:val="19"/>
                <w:szCs w:val="19"/>
              </w:rPr>
              <w:t>Ninguno (cerrado)</w:t>
            </w:r>
          </w:p>
        </w:tc>
        <w:tc>
          <w:tcPr>
            <w:tcW w:w="37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20CEC448" w14:textId="77777777" w:rsidR="00054FE2" w:rsidRDefault="00000000">
            <w:pPr>
              <w:spacing w:line="260" w:lineRule="auto"/>
            </w:pPr>
            <w:r>
              <w:rPr>
                <w:sz w:val="19"/>
                <w:szCs w:val="19"/>
              </w:rPr>
              <w:t>Liquidar las divisas contra el Forward. Margen comercial blindado.</w:t>
            </w:r>
          </w:p>
        </w:tc>
      </w:tr>
    </w:tbl>
    <w:p w14:paraId="14476587" w14:textId="77777777" w:rsidR="00054FE2" w:rsidRDefault="00054FE2">
      <w:pPr>
        <w:spacing w:after="80"/>
      </w:pPr>
    </w:p>
    <w:p w14:paraId="120E9F13" w14:textId="77777777" w:rsidR="00054FE2" w:rsidRDefault="00000000">
      <w:pPr>
        <w:pStyle w:val="Heading2"/>
      </w:pPr>
      <w:bookmarkStart w:id="16" w:name="_Toc238748950"/>
      <w:r>
        <w:t>6.2 Conclusión</w:t>
      </w:r>
      <w:bookmarkEnd w:id="16"/>
    </w:p>
    <w:tbl>
      <w:tblPr>
        <w:tblW w:w="9360" w:type="dxa"/>
        <w:tblBorders>
          <w:top w:val="single" w:sz="2" w:space="0" w:color="EEF5F0"/>
          <w:left w:val="single" w:sz="24" w:space="0" w:color="2F6B4F"/>
          <w:bottom w:val="single" w:sz="2" w:space="0" w:color="EEF5F0"/>
          <w:right w:val="single" w:sz="2" w:space="0" w:color="EEF5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FE2" w14:paraId="3FEB5FFB" w14:textId="77777777">
        <w:tblPrEx>
          <w:tblCellMar>
            <w:top w:w="0" w:type="dxa"/>
            <w:bottom w:w="0" w:type="dxa"/>
          </w:tblCellMar>
        </w:tblPrEx>
        <w:tc>
          <w:tcPr>
            <w:tcW w:w="9360" w:type="dxa"/>
            <w:shd w:val="clear" w:color="auto" w:fill="EEF5F0"/>
            <w:tcMar>
              <w:top w:w="140" w:type="dxa"/>
              <w:left w:w="220" w:type="dxa"/>
              <w:bottom w:w="140" w:type="dxa"/>
              <w:right w:w="200" w:type="dxa"/>
            </w:tcMar>
          </w:tcPr>
          <w:p w14:paraId="55F943C3" w14:textId="77777777" w:rsidR="00054FE2" w:rsidRDefault="00000000">
            <w:pPr>
              <w:spacing w:after="40"/>
            </w:pPr>
            <w:r>
              <w:rPr>
                <w:b/>
                <w:bCs/>
                <w:caps/>
                <w:color w:val="2F6B4F"/>
                <w:sz w:val="18"/>
                <w:szCs w:val="18"/>
              </w:rPr>
              <w:t>Cubrible — SÍ</w:t>
            </w:r>
          </w:p>
          <w:p w14:paraId="56A981F4" w14:textId="77777777" w:rsidR="00054FE2" w:rsidRDefault="00000000">
            <w:pPr>
              <w:spacing w:line="272" w:lineRule="auto"/>
            </w:pPr>
            <w:r>
              <w:t xml:space="preserve">El riesgo cambiario </w:t>
            </w:r>
            <w:r>
              <w:rPr>
                <w:b/>
                <w:bCs/>
              </w:rPr>
              <w:t>se cubre con un Forward (o NDF) de venta de USD/COP</w:t>
            </w:r>
            <w:r>
              <w:t xml:space="preserve">, pactado el día en que se fija la compra en COP y con vencimiento sincronizado a la fecha estimada de recaudo. Se cubre el USD-equivalente de los costos en COP más el margen local — </w:t>
            </w:r>
            <w:r>
              <w:rPr>
                <w:b/>
                <w:bCs/>
              </w:rPr>
              <w:t>no el 100% del contenedor</w:t>
            </w:r>
            <w:r>
              <w:t>.</w:t>
            </w:r>
          </w:p>
        </w:tc>
      </w:tr>
    </w:tbl>
    <w:p w14:paraId="43CE0111" w14:textId="77777777" w:rsidR="00054FE2" w:rsidRDefault="00000000">
      <w:pPr>
        <w:pStyle w:val="Heading2"/>
      </w:pPr>
      <w:bookmarkStart w:id="17" w:name="_Toc238748951"/>
      <w:r>
        <w:t>6.3 Cuánto cubrir y qué excluir</w:t>
      </w:r>
      <w:bookmarkEnd w:id="17"/>
    </w:p>
    <w:p w14:paraId="510BBDB2" w14:textId="77777777" w:rsidR="00054FE2" w:rsidRDefault="00000000">
      <w:pPr>
        <w:pStyle w:val="ListParagraph"/>
        <w:numPr>
          <w:ilvl w:val="0"/>
          <w:numId w:val="2"/>
        </w:numPr>
        <w:spacing w:after="70" w:line="268" w:lineRule="auto"/>
      </w:pPr>
      <w:r>
        <w:rPr>
          <w:b/>
          <w:bCs/>
        </w:rPr>
        <w:t xml:space="preserve">Nocional a cubrir = </w:t>
      </w:r>
      <w:r>
        <w:t>USD-equivalente de (costos en COP + margen local). El café pagado con los mismos USD que se reciben (fletes marítimos, comisiones en USD) ya está calzado y no se cubre.</w:t>
      </w:r>
    </w:p>
    <w:p w14:paraId="4A792B4F" w14:textId="77777777" w:rsidR="00054FE2" w:rsidRDefault="00000000">
      <w:pPr>
        <w:pStyle w:val="ListParagraph"/>
        <w:numPr>
          <w:ilvl w:val="0"/>
          <w:numId w:val="2"/>
        </w:numPr>
        <w:spacing w:after="70" w:line="268" w:lineRule="auto"/>
      </w:pPr>
      <w:r>
        <w:rPr>
          <w:b/>
          <w:bCs/>
        </w:rPr>
        <w:t xml:space="preserve">Excluir la porción que no convierte a COP: </w:t>
      </w:r>
      <w:r>
        <w:t>anticipo de Incofin en USD y cobros que quedan en la cuenta de Miami (Equation Coffee LLC).</w:t>
      </w:r>
    </w:p>
    <w:p w14:paraId="257F40C8" w14:textId="77777777" w:rsidR="00054FE2" w:rsidRDefault="00000000">
      <w:pPr>
        <w:pStyle w:val="Heading2"/>
      </w:pPr>
      <w:bookmarkStart w:id="18" w:name="_Toc238748952"/>
      <w:r>
        <w:t>6.4 Política por tipo de transacción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054FE2" w14:paraId="02BF08C0" w14:textId="77777777">
        <w:tblPrEx>
          <w:tblCellMar>
            <w:top w:w="0" w:type="dxa"/>
            <w:bottom w:w="0" w:type="dxa"/>
          </w:tblCellMar>
        </w:tblPrEx>
        <w:trPr>
          <w:tblHeader/>
        </w:trPr>
        <w:tc>
          <w:tcPr>
            <w:tcW w:w="26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1DE4EC49" w14:textId="77777777" w:rsidR="00054FE2" w:rsidRDefault="00000000">
            <w:r>
              <w:rPr>
                <w:b/>
                <w:bCs/>
                <w:color w:val="FFFFFF"/>
                <w:sz w:val="19"/>
                <w:szCs w:val="19"/>
              </w:rPr>
              <w:t>Tipo de operación</w:t>
            </w:r>
          </w:p>
        </w:tc>
        <w:tc>
          <w:tcPr>
            <w:tcW w:w="32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724965C3" w14:textId="77777777" w:rsidR="00054FE2" w:rsidRDefault="00000000">
            <w:r>
              <w:rPr>
                <w:b/>
                <w:bCs/>
                <w:color w:val="FFFFFF"/>
                <w:sz w:val="19"/>
                <w:szCs w:val="19"/>
              </w:rPr>
              <w:t>Exposición cambiaria</w:t>
            </w:r>
          </w:p>
        </w:tc>
        <w:tc>
          <w:tcPr>
            <w:tcW w:w="356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04D1E15B" w14:textId="77777777" w:rsidR="00054FE2" w:rsidRDefault="00000000">
            <w:r>
              <w:rPr>
                <w:b/>
                <w:bCs/>
                <w:color w:val="FFFFFF"/>
                <w:sz w:val="19"/>
                <w:szCs w:val="19"/>
              </w:rPr>
              <w:t>Cobertura</w:t>
            </w:r>
          </w:p>
        </w:tc>
      </w:tr>
      <w:tr w:rsidR="00054FE2" w14:paraId="15C8B3B6" w14:textId="77777777">
        <w:tblPrEx>
          <w:tblCellMar>
            <w:top w:w="0" w:type="dxa"/>
            <w:bottom w:w="0" w:type="dxa"/>
          </w:tblCellMar>
        </w:tblPrEx>
        <w:tc>
          <w:tcPr>
            <w:tcW w:w="26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75BF5310" w14:textId="77777777" w:rsidR="00054FE2" w:rsidRDefault="00000000">
            <w:pPr>
              <w:spacing w:line="260" w:lineRule="auto"/>
            </w:pPr>
            <w:r>
              <w:rPr>
                <w:sz w:val="19"/>
                <w:szCs w:val="19"/>
              </w:rPr>
              <w:t>A. Exportación FOB — back-to-back en caliente</w:t>
            </w:r>
          </w:p>
        </w:tc>
        <w:tc>
          <w:tcPr>
            <w:tcW w:w="32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47E27830" w14:textId="77777777" w:rsidR="00054FE2" w:rsidRDefault="00000000">
            <w:pPr>
              <w:spacing w:line="260" w:lineRule="auto"/>
            </w:pPr>
            <w:r>
              <w:rPr>
                <w:sz w:val="19"/>
                <w:szCs w:val="19"/>
              </w:rPr>
              <w:t>Se abre al fijar la compra en COP el mismo día</w:t>
            </w:r>
          </w:p>
        </w:tc>
        <w:tc>
          <w:tcPr>
            <w:tcW w:w="35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56299F14" w14:textId="77777777" w:rsidR="00054FE2" w:rsidRDefault="00000000">
            <w:pPr>
              <w:spacing w:line="260" w:lineRule="auto"/>
            </w:pPr>
            <w:r>
              <w:rPr>
                <w:sz w:val="19"/>
                <w:szCs w:val="19"/>
              </w:rPr>
              <w:t>Forward venta USD/COP el día del cierre, por el margen + costos COP, tenor al pago del cliente.</w:t>
            </w:r>
          </w:p>
        </w:tc>
      </w:tr>
      <w:tr w:rsidR="00054FE2" w14:paraId="60B39EF9" w14:textId="77777777">
        <w:tblPrEx>
          <w:tblCellMar>
            <w:top w:w="0" w:type="dxa"/>
            <w:bottom w:w="0" w:type="dxa"/>
          </w:tblCellMar>
        </w:tblPrEx>
        <w:tc>
          <w:tcPr>
            <w:tcW w:w="26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4FA300BE" w14:textId="77777777" w:rsidR="00054FE2" w:rsidRDefault="00000000">
            <w:pPr>
              <w:spacing w:line="260" w:lineRule="auto"/>
            </w:pPr>
            <w:r>
              <w:rPr>
                <w:sz w:val="19"/>
                <w:szCs w:val="19"/>
              </w:rPr>
              <w:t>B. Exportación FOB — vende primero, compra después</w:t>
            </w:r>
          </w:p>
        </w:tc>
        <w:tc>
          <w:tcPr>
            <w:tcW w:w="32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3B6058A2" w14:textId="77777777" w:rsidR="00054FE2" w:rsidRDefault="00000000">
            <w:pPr>
              <w:spacing w:line="260" w:lineRule="auto"/>
            </w:pPr>
            <w:r>
              <w:rPr>
                <w:sz w:val="19"/>
                <w:szCs w:val="19"/>
              </w:rPr>
              <w:t>Sin FX hasta comprar (cobertura natural); se abre al fijar la compra</w:t>
            </w:r>
          </w:p>
        </w:tc>
        <w:tc>
          <w:tcPr>
            <w:tcW w:w="356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7A350FFF" w14:textId="77777777" w:rsidR="00054FE2" w:rsidRDefault="00000000">
            <w:pPr>
              <w:spacing w:line="260" w:lineRule="auto"/>
            </w:pPr>
            <w:r>
              <w:rPr>
                <w:sz w:val="19"/>
                <w:szCs w:val="19"/>
              </w:rPr>
              <w:t>En la venta: futuro KC del precio si es fijo. En la compra: Forward venta USD/COP, tenor al recaudo. No dejar pasar la compra sin pactar el Forward.</w:t>
            </w:r>
          </w:p>
        </w:tc>
      </w:tr>
      <w:tr w:rsidR="00054FE2" w14:paraId="699D7BB8" w14:textId="77777777">
        <w:tblPrEx>
          <w:tblCellMar>
            <w:top w:w="0" w:type="dxa"/>
            <w:bottom w:w="0" w:type="dxa"/>
          </w:tblCellMar>
        </w:tblPrEx>
        <w:tc>
          <w:tcPr>
            <w:tcW w:w="26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65E6A187" w14:textId="77777777" w:rsidR="00054FE2" w:rsidRDefault="00000000">
            <w:pPr>
              <w:spacing w:line="260" w:lineRule="auto"/>
            </w:pPr>
            <w:r>
              <w:rPr>
                <w:sz w:val="19"/>
                <w:szCs w:val="19"/>
              </w:rPr>
              <w:lastRenderedPageBreak/>
              <w:t>C. SPOT a Miami / Equation Coffee LLC</w:t>
            </w:r>
          </w:p>
        </w:tc>
        <w:tc>
          <w:tcPr>
            <w:tcW w:w="32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5BCFA789" w14:textId="77777777" w:rsidR="00054FE2" w:rsidRDefault="00000000">
            <w:pPr>
              <w:spacing w:line="260" w:lineRule="auto"/>
            </w:pPr>
            <w:r>
              <w:rPr>
                <w:sz w:val="19"/>
                <w:szCs w:val="19"/>
              </w:rPr>
              <w:t>Solo sobre la porción que se repatría a COP</w:t>
            </w:r>
          </w:p>
        </w:tc>
        <w:tc>
          <w:tcPr>
            <w:tcW w:w="35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485B1766" w14:textId="77777777" w:rsidR="00054FE2" w:rsidRDefault="00000000">
            <w:pPr>
              <w:spacing w:line="260" w:lineRule="auto"/>
            </w:pPr>
            <w:r>
              <w:rPr>
                <w:sz w:val="19"/>
                <w:szCs w:val="19"/>
              </w:rPr>
              <w:t>Forward venta USD/COP solo por lo que sube a Colombia (café + costos + margen). El resto queda en USD, calzado.</w:t>
            </w:r>
          </w:p>
        </w:tc>
      </w:tr>
      <w:tr w:rsidR="00054FE2" w14:paraId="1E76D408" w14:textId="77777777">
        <w:tblPrEx>
          <w:tblCellMar>
            <w:top w:w="0" w:type="dxa"/>
            <w:bottom w:w="0" w:type="dxa"/>
          </w:tblCellMar>
        </w:tblPrEx>
        <w:tc>
          <w:tcPr>
            <w:tcW w:w="26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59A02F9D" w14:textId="77777777" w:rsidR="00054FE2" w:rsidRDefault="00000000">
            <w:pPr>
              <w:spacing w:line="260" w:lineRule="auto"/>
            </w:pPr>
            <w:r>
              <w:rPr>
                <w:sz w:val="19"/>
                <w:szCs w:val="19"/>
              </w:rPr>
              <w:t>D. Nacional en COP (p. ej. Libertario)</w:t>
            </w:r>
          </w:p>
        </w:tc>
        <w:tc>
          <w:tcPr>
            <w:tcW w:w="32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714F77D8" w14:textId="77777777" w:rsidR="00054FE2" w:rsidRDefault="00000000">
            <w:pPr>
              <w:spacing w:line="260" w:lineRule="auto"/>
            </w:pPr>
            <w:r>
              <w:rPr>
                <w:sz w:val="19"/>
                <w:szCs w:val="19"/>
              </w:rPr>
              <w:t>Ninguna (compra y venta en COP)</w:t>
            </w:r>
          </w:p>
        </w:tc>
        <w:tc>
          <w:tcPr>
            <w:tcW w:w="356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10B58332" w14:textId="77777777" w:rsidR="00054FE2" w:rsidRDefault="00000000">
            <w:pPr>
              <w:spacing w:line="260" w:lineRule="auto"/>
            </w:pPr>
            <w:r>
              <w:rPr>
                <w:sz w:val="19"/>
                <w:szCs w:val="19"/>
              </w:rPr>
              <w:t>Sin cobertura FX. Excepción: si hay un tramo referenciado en USD, se trata como A/B por ese tramo.</w:t>
            </w:r>
          </w:p>
        </w:tc>
      </w:tr>
      <w:tr w:rsidR="00054FE2" w14:paraId="0007F8AE" w14:textId="77777777">
        <w:tblPrEx>
          <w:tblCellMar>
            <w:top w:w="0" w:type="dxa"/>
            <w:bottom w:w="0" w:type="dxa"/>
          </w:tblCellMar>
        </w:tblPrEx>
        <w:tc>
          <w:tcPr>
            <w:tcW w:w="26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4FB0F998" w14:textId="77777777" w:rsidR="00054FE2" w:rsidRDefault="00000000">
            <w:pPr>
              <w:spacing w:line="260" w:lineRule="auto"/>
            </w:pPr>
            <w:r>
              <w:rPr>
                <w:sz w:val="19"/>
                <w:szCs w:val="19"/>
              </w:rPr>
              <w:t>E. Con financiación Incofin (factoring)</w:t>
            </w:r>
          </w:p>
        </w:tc>
        <w:tc>
          <w:tcPr>
            <w:tcW w:w="32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53640905" w14:textId="77777777" w:rsidR="00054FE2" w:rsidRDefault="00000000">
            <w:pPr>
              <w:spacing w:line="260" w:lineRule="auto"/>
            </w:pPr>
            <w:r>
              <w:rPr>
                <w:sz w:val="19"/>
                <w:szCs w:val="19"/>
              </w:rPr>
              <w:t>Solo el remanente (~25–30%); el 70% anticipado en USD no convierte si se monetiza el día de la compra</w:t>
            </w:r>
          </w:p>
        </w:tc>
        <w:tc>
          <w:tcPr>
            <w:tcW w:w="35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3FBAE5A0" w14:textId="77777777" w:rsidR="00054FE2" w:rsidRDefault="00000000">
            <w:pPr>
              <w:spacing w:line="260" w:lineRule="auto"/>
            </w:pPr>
            <w:r>
              <w:rPr>
                <w:sz w:val="19"/>
                <w:szCs w:val="19"/>
              </w:rPr>
              <w:t>El Forward cubre solo el remanente que se monetiza después. El factoring adelanta caja, no es cobertura FX.</w:t>
            </w:r>
          </w:p>
        </w:tc>
      </w:tr>
    </w:tbl>
    <w:p w14:paraId="4CDBDE9C" w14:textId="77777777" w:rsidR="00054FE2" w:rsidRDefault="00054FE2">
      <w:pPr>
        <w:spacing w:after="80"/>
      </w:pPr>
    </w:p>
    <w:p w14:paraId="29F7F7BE" w14:textId="77777777" w:rsidR="00054FE2" w:rsidRDefault="00000000">
      <w:pPr>
        <w:pStyle w:val="Heading2"/>
      </w:pPr>
      <w:bookmarkStart w:id="19" w:name="_Toc238748953"/>
      <w:r>
        <w:t>6.5 Overlay dinámico por banda de TRM</w:t>
      </w:r>
      <w:bookmarkEnd w:id="19"/>
    </w:p>
    <w:p w14:paraId="28E7F8CF" w14:textId="77777777" w:rsidR="00054FE2" w:rsidRDefault="00000000">
      <w:pPr>
        <w:spacing w:after="120" w:line="276" w:lineRule="auto"/>
      </w:pPr>
      <w:r>
        <w:t>La cobertura no es fija: el ratio depende de dónde esté la TRM frente al presupuesto y al break-even (tasa mínima que cubre costos). Umbrales ilustrativos, a calibrar con los datos de costos fijos: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054FE2" w14:paraId="7EEF246F" w14:textId="77777777">
        <w:tblPrEx>
          <w:tblCellMar>
            <w:top w:w="0" w:type="dxa"/>
            <w:bottom w:w="0" w:type="dxa"/>
          </w:tblCellMar>
        </w:tblPrEx>
        <w:trPr>
          <w:tblHeader/>
        </w:trPr>
        <w:tc>
          <w:tcPr>
            <w:tcW w:w="26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6640ED4C" w14:textId="77777777" w:rsidR="00054FE2" w:rsidRDefault="00000000">
            <w:r>
              <w:rPr>
                <w:b/>
                <w:bCs/>
                <w:color w:val="FFFFFF"/>
                <w:sz w:val="19"/>
                <w:szCs w:val="19"/>
              </w:rPr>
              <w:t>Banda de TRM</w:t>
            </w:r>
          </w:p>
        </w:tc>
        <w:tc>
          <w:tcPr>
            <w:tcW w:w="320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63DC5D1D" w14:textId="77777777" w:rsidR="00054FE2" w:rsidRDefault="00000000">
            <w:r>
              <w:rPr>
                <w:b/>
                <w:bCs/>
                <w:color w:val="FFFFFF"/>
                <w:sz w:val="19"/>
                <w:szCs w:val="19"/>
              </w:rPr>
              <w:t>Situación</w:t>
            </w:r>
          </w:p>
        </w:tc>
        <w:tc>
          <w:tcPr>
            <w:tcW w:w="3560" w:type="dxa"/>
            <w:tcBorders>
              <w:top w:val="single" w:sz="1" w:space="0" w:color="D8CFBC"/>
              <w:left w:val="single" w:sz="1" w:space="0" w:color="D8CFBC"/>
              <w:bottom w:val="single" w:sz="1" w:space="0" w:color="D8CFBC"/>
              <w:right w:val="single" w:sz="1" w:space="0" w:color="D8CFBC"/>
            </w:tcBorders>
            <w:shd w:val="clear" w:color="auto" w:fill="1A383F"/>
            <w:tcMar>
              <w:top w:w="80" w:type="dxa"/>
              <w:left w:w="120" w:type="dxa"/>
              <w:bottom w:w="80" w:type="dxa"/>
              <w:right w:w="120" w:type="dxa"/>
            </w:tcMar>
            <w:vAlign w:val="center"/>
          </w:tcPr>
          <w:p w14:paraId="17ED1FF1" w14:textId="77777777" w:rsidR="00054FE2" w:rsidRDefault="00000000">
            <w:r>
              <w:rPr>
                <w:b/>
                <w:bCs/>
                <w:color w:val="FFFFFF"/>
                <w:sz w:val="19"/>
                <w:szCs w:val="19"/>
              </w:rPr>
              <w:t>Política de cobertura</w:t>
            </w:r>
          </w:p>
        </w:tc>
      </w:tr>
      <w:tr w:rsidR="00054FE2" w14:paraId="38D1211D" w14:textId="77777777">
        <w:tblPrEx>
          <w:tblCellMar>
            <w:top w:w="0" w:type="dxa"/>
            <w:bottom w:w="0" w:type="dxa"/>
          </w:tblCellMar>
        </w:tblPrEx>
        <w:tc>
          <w:tcPr>
            <w:tcW w:w="26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3755A5E5" w14:textId="77777777" w:rsidR="00054FE2" w:rsidRDefault="00000000">
            <w:pPr>
              <w:spacing w:line="260" w:lineRule="auto"/>
            </w:pPr>
            <w:r>
              <w:rPr>
                <w:sz w:val="19"/>
                <w:szCs w:val="19"/>
              </w:rPr>
              <w:t>Alta (&gt; ~3.500)</w:t>
            </w:r>
          </w:p>
        </w:tc>
        <w:tc>
          <w:tcPr>
            <w:tcW w:w="32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6BCA077F" w14:textId="77777777" w:rsidR="00054FE2" w:rsidRDefault="00000000">
            <w:pPr>
              <w:spacing w:line="260" w:lineRule="auto"/>
            </w:pPr>
            <w:r>
              <w:rPr>
                <w:sz w:val="19"/>
                <w:szCs w:val="19"/>
              </w:rPr>
              <w:t>Tasa favorable; cubre costos con holgura</w:t>
            </w:r>
          </w:p>
        </w:tc>
        <w:tc>
          <w:tcPr>
            <w:tcW w:w="35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408E9403" w14:textId="77777777" w:rsidR="00054FE2" w:rsidRDefault="00000000">
            <w:pPr>
              <w:spacing w:line="260" w:lineRule="auto"/>
            </w:pPr>
            <w:r>
              <w:rPr>
                <w:sz w:val="19"/>
                <w:szCs w:val="19"/>
              </w:rPr>
              <w:t>Cobertura mínima de la operación. Oportunísticamente asegurar recaudos futuros si hay caja y cupo disponible.</w:t>
            </w:r>
          </w:p>
        </w:tc>
      </w:tr>
      <w:tr w:rsidR="00054FE2" w14:paraId="1D489AB5" w14:textId="77777777">
        <w:tblPrEx>
          <w:tblCellMar>
            <w:top w:w="0" w:type="dxa"/>
            <w:bottom w:w="0" w:type="dxa"/>
          </w:tblCellMar>
        </w:tblPrEx>
        <w:tc>
          <w:tcPr>
            <w:tcW w:w="26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49F03033" w14:textId="77777777" w:rsidR="00054FE2" w:rsidRDefault="00000000">
            <w:pPr>
              <w:spacing w:line="260" w:lineRule="auto"/>
            </w:pPr>
            <w:r>
              <w:rPr>
                <w:sz w:val="19"/>
                <w:szCs w:val="19"/>
              </w:rPr>
              <w:t>Media (cerca del presupuesto)</w:t>
            </w:r>
          </w:p>
        </w:tc>
        <w:tc>
          <w:tcPr>
            <w:tcW w:w="320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1E75E620" w14:textId="77777777" w:rsidR="00054FE2" w:rsidRDefault="00000000">
            <w:pPr>
              <w:spacing w:line="260" w:lineRule="auto"/>
            </w:pPr>
            <w:r>
              <w:rPr>
                <w:sz w:val="19"/>
                <w:szCs w:val="19"/>
              </w:rPr>
              <w:t>Normal</w:t>
            </w:r>
          </w:p>
        </w:tc>
        <w:tc>
          <w:tcPr>
            <w:tcW w:w="3560" w:type="dxa"/>
            <w:tcBorders>
              <w:top w:val="single" w:sz="1" w:space="0" w:color="D8CFBC"/>
              <w:left w:val="single" w:sz="1" w:space="0" w:color="D8CFBC"/>
              <w:bottom w:val="single" w:sz="1" w:space="0" w:color="D8CFBC"/>
              <w:right w:val="single" w:sz="1" w:space="0" w:color="D8CFBC"/>
            </w:tcBorders>
            <w:shd w:val="clear" w:color="auto" w:fill="FBFAF6"/>
            <w:tcMar>
              <w:top w:w="70" w:type="dxa"/>
              <w:left w:w="120" w:type="dxa"/>
              <w:bottom w:w="70" w:type="dxa"/>
              <w:right w:w="120" w:type="dxa"/>
            </w:tcMar>
            <w:vAlign w:val="center"/>
          </w:tcPr>
          <w:p w14:paraId="2C0A2C0C" w14:textId="77777777" w:rsidR="00054FE2" w:rsidRDefault="00000000">
            <w:pPr>
              <w:spacing w:line="260" w:lineRule="auto"/>
            </w:pPr>
            <w:r>
              <w:rPr>
                <w:sz w:val="19"/>
                <w:szCs w:val="19"/>
              </w:rPr>
              <w:t>Cubrir margen + costos fijos en COP (garantizar el margen presupuestado). Ratio ~60–75%.</w:t>
            </w:r>
          </w:p>
        </w:tc>
      </w:tr>
      <w:tr w:rsidR="00054FE2" w14:paraId="52EF1E6F" w14:textId="77777777">
        <w:tblPrEx>
          <w:tblCellMar>
            <w:top w:w="0" w:type="dxa"/>
            <w:bottom w:w="0" w:type="dxa"/>
          </w:tblCellMar>
        </w:tblPrEx>
        <w:tc>
          <w:tcPr>
            <w:tcW w:w="26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0563DD23" w14:textId="77777777" w:rsidR="00054FE2" w:rsidRDefault="00000000">
            <w:pPr>
              <w:spacing w:line="260" w:lineRule="auto"/>
            </w:pPr>
            <w:r>
              <w:rPr>
                <w:sz w:val="19"/>
                <w:szCs w:val="19"/>
              </w:rPr>
              <w:t>Baja (&lt; break-even, hoy ~3.000)</w:t>
            </w:r>
          </w:p>
        </w:tc>
        <w:tc>
          <w:tcPr>
            <w:tcW w:w="320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632730D9" w14:textId="77777777" w:rsidR="00054FE2" w:rsidRDefault="00000000">
            <w:pPr>
              <w:spacing w:line="260" w:lineRule="auto"/>
            </w:pPr>
            <w:r>
              <w:rPr>
                <w:sz w:val="19"/>
                <w:szCs w:val="19"/>
              </w:rPr>
              <w:t>Margen comprimido</w:t>
            </w:r>
          </w:p>
        </w:tc>
        <w:tc>
          <w:tcPr>
            <w:tcW w:w="3560" w:type="dxa"/>
            <w:tcBorders>
              <w:top w:val="single" w:sz="1" w:space="0" w:color="D8CFBC"/>
              <w:left w:val="single" w:sz="1" w:space="0" w:color="D8CFBC"/>
              <w:bottom w:val="single" w:sz="1" w:space="0" w:color="D8CFBC"/>
              <w:right w:val="single" w:sz="1" w:space="0" w:color="D8CFBC"/>
            </w:tcBorders>
            <w:shd w:val="clear" w:color="auto" w:fill="FFFFFF"/>
            <w:tcMar>
              <w:top w:w="70" w:type="dxa"/>
              <w:left w:w="120" w:type="dxa"/>
              <w:bottom w:w="70" w:type="dxa"/>
              <w:right w:w="120" w:type="dxa"/>
            </w:tcMar>
            <w:vAlign w:val="center"/>
          </w:tcPr>
          <w:p w14:paraId="7189EA51" w14:textId="77777777" w:rsidR="00054FE2" w:rsidRDefault="00000000">
            <w:pPr>
              <w:spacing w:line="260" w:lineRule="auto"/>
            </w:pPr>
            <w:r>
              <w:rPr>
                <w:sz w:val="19"/>
                <w:szCs w:val="19"/>
              </w:rPr>
              <w:t>Cubrir más que el margen (proteger caja/costos fijos); cerrar los recaudos abiertos. No especular a mala tasa; ajustar precio o costos en paralelo.</w:t>
            </w:r>
          </w:p>
        </w:tc>
      </w:tr>
    </w:tbl>
    <w:p w14:paraId="3A6F6FA7" w14:textId="77777777" w:rsidR="00054FE2" w:rsidRDefault="00054FE2">
      <w:pPr>
        <w:spacing w:after="80"/>
      </w:pPr>
    </w:p>
    <w:p w14:paraId="601B1FA6" w14:textId="77777777" w:rsidR="00054FE2" w:rsidRDefault="00000000">
      <w:pPr>
        <w:pStyle w:val="Heading2"/>
      </w:pPr>
      <w:bookmarkStart w:id="20" w:name="_Toc238748954"/>
      <w:r>
        <w:t>6.6 Dos capas de cobertura</w:t>
      </w:r>
      <w:bookmarkEnd w:id="20"/>
    </w:p>
    <w:p w14:paraId="0B9A162C" w14:textId="77777777" w:rsidR="00054FE2" w:rsidRDefault="00000000">
      <w:pPr>
        <w:pStyle w:val="ListParagraph"/>
        <w:numPr>
          <w:ilvl w:val="0"/>
          <w:numId w:val="2"/>
        </w:numPr>
        <w:spacing w:after="70" w:line="268" w:lineRule="auto"/>
      </w:pPr>
      <w:r>
        <w:rPr>
          <w:b/>
          <w:bCs/>
        </w:rPr>
        <w:t xml:space="preserve">Transaccional (por operación): </w:t>
      </w:r>
      <w:r>
        <w:t>la doctrina de los tres hitos — cubrir el recaudo de cada operación una vez fijado el costo en COP.</w:t>
      </w:r>
    </w:p>
    <w:p w14:paraId="31515AEB" w14:textId="77777777" w:rsidR="00054FE2" w:rsidRDefault="00000000">
      <w:pPr>
        <w:pStyle w:val="ListParagraph"/>
        <w:numPr>
          <w:ilvl w:val="0"/>
          <w:numId w:val="2"/>
        </w:numPr>
        <w:spacing w:after="70" w:line="268" w:lineRule="auto"/>
      </w:pPr>
      <w:r>
        <w:rPr>
          <w:b/>
          <w:bCs/>
        </w:rPr>
        <w:t xml:space="preserve">Estructural (tesorería): </w:t>
      </w:r>
      <w:r>
        <w:t>los costos fijos mensuales en COP (nómina, oficina) están expuestos de forma permanente. Se cubren con un programa de forwards en capas (layering / rolling), p. ej. 25% a 12 meses y capas adicionales a 9, 6 y 3 meses, para suavizar el mark-to-market y anclar el presupuesto.</w:t>
      </w:r>
    </w:p>
    <w:p w14:paraId="1919C769" w14:textId="77777777" w:rsidR="00054FE2" w:rsidRDefault="00000000">
      <w:pPr>
        <w:pStyle w:val="Heading2"/>
      </w:pPr>
      <w:bookmarkStart w:id="21" w:name="_Toc238748955"/>
      <w:r>
        <w:t>6.7 Advertencia: los límites de la «cobertura natural»</w:t>
      </w:r>
      <w:bookmarkEnd w:id="21"/>
    </w:p>
    <w:tbl>
      <w:tblPr>
        <w:tblW w:w="9360" w:type="dxa"/>
        <w:tblBorders>
          <w:top w:val="single" w:sz="2" w:space="0" w:color="FBF1EC"/>
          <w:left w:val="single" w:sz="24" w:space="0" w:color="B4522E"/>
          <w:bottom w:val="single" w:sz="2" w:space="0" w:color="FBF1EC"/>
          <w:right w:val="single" w:sz="2" w:space="0" w:color="FBF1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4FE2" w14:paraId="1A63C703" w14:textId="77777777">
        <w:tblPrEx>
          <w:tblCellMar>
            <w:top w:w="0" w:type="dxa"/>
            <w:bottom w:w="0" w:type="dxa"/>
          </w:tblCellMar>
        </w:tblPrEx>
        <w:tc>
          <w:tcPr>
            <w:tcW w:w="9360" w:type="dxa"/>
            <w:shd w:val="clear" w:color="auto" w:fill="FBF1EC"/>
            <w:tcMar>
              <w:top w:w="140" w:type="dxa"/>
              <w:left w:w="220" w:type="dxa"/>
              <w:bottom w:w="140" w:type="dxa"/>
              <w:right w:w="200" w:type="dxa"/>
            </w:tcMar>
          </w:tcPr>
          <w:p w14:paraId="0D03B90D" w14:textId="77777777" w:rsidR="00054FE2" w:rsidRDefault="00000000">
            <w:pPr>
              <w:spacing w:after="40"/>
            </w:pPr>
            <w:r>
              <w:rPr>
                <w:b/>
                <w:bCs/>
                <w:caps/>
                <w:color w:val="B4522E"/>
                <w:sz w:val="18"/>
                <w:szCs w:val="18"/>
              </w:rPr>
              <w:t>Matiz importante</w:t>
            </w:r>
          </w:p>
          <w:p w14:paraId="62DEDA26" w14:textId="77777777" w:rsidR="00054FE2" w:rsidRDefault="00000000">
            <w:pPr>
              <w:spacing w:line="272" w:lineRule="auto"/>
            </w:pPr>
            <w:r>
              <w:t xml:space="preserve">La cobertura natural de la materia prima es real, pero </w:t>
            </w:r>
            <w:r>
              <w:rPr>
                <w:b/>
                <w:bCs/>
              </w:rPr>
              <w:t>solo protege la materia prima y solo mientras ambos precios floten en paridad</w:t>
            </w:r>
            <w:r>
              <w:t>. No cubre el margen ni los costos fijos en COP, y la correlación entre commodity y tipo de cambio no es perfecta. No debe sobre-confiarse en ella (advertencia documentada por Cargill).</w:t>
            </w:r>
          </w:p>
        </w:tc>
      </w:tr>
    </w:tbl>
    <w:p w14:paraId="00D68474" w14:textId="77777777" w:rsidR="00054FE2" w:rsidRDefault="00000000">
      <w:pPr>
        <w:pStyle w:val="Heading2"/>
      </w:pPr>
      <w:bookmarkStart w:id="22" w:name="_Toc238748956"/>
      <w:r>
        <w:lastRenderedPageBreak/>
        <w:t>6.8 Prácticas de referencia del mercado</w:t>
      </w:r>
      <w:bookmarkEnd w:id="22"/>
    </w:p>
    <w:p w14:paraId="40A3F8C2" w14:textId="77777777" w:rsidR="00054FE2" w:rsidRDefault="00000000">
      <w:pPr>
        <w:spacing w:after="120" w:line="276" w:lineRule="auto"/>
      </w:pPr>
      <w:r>
        <w:t>Las mesas de tesorería recomiendan un núcleo de forwards/NDF para la exposición cierta y opciones/collars para el flujo previsto, con un ratio dinámico (híbrido) y un objetivo declarado de proteger el margen operativo, no adivinar la tasa. Para la capa estructural se usan programas de layering/rolling. El factoring cubre riesgo de crédito y liquidez, no cambiario. (Convera, ACT, Kyriba, Cargill, BIS, Bancolombia, EAFIT.)</w:t>
      </w:r>
    </w:p>
    <w:p w14:paraId="6D8B012B" w14:textId="77777777" w:rsidR="00054FE2" w:rsidRDefault="00000000">
      <w:pPr>
        <w:pStyle w:val="Heading1"/>
        <w:pageBreakBefore/>
      </w:pPr>
      <w:bookmarkStart w:id="23" w:name="_Toc238748957"/>
      <w:r>
        <w:lastRenderedPageBreak/>
        <w:t>7. Gobierno y control</w:t>
      </w:r>
      <w:bookmarkEnd w:id="23"/>
    </w:p>
    <w:p w14:paraId="08B8B9FF" w14:textId="77777777" w:rsidR="00054FE2" w:rsidRDefault="00000000">
      <w:pPr>
        <w:pStyle w:val="ListParagraph"/>
        <w:numPr>
          <w:ilvl w:val="0"/>
          <w:numId w:val="2"/>
        </w:numPr>
        <w:spacing w:after="70" w:line="268" w:lineRule="auto"/>
      </w:pPr>
      <w:r>
        <w:rPr>
          <w:b/>
          <w:bCs/>
        </w:rPr>
        <w:t xml:space="preserve">Política escrita y aprobada </w:t>
      </w:r>
      <w:r>
        <w:t>(este documento), revisada periódicamente.</w:t>
      </w:r>
    </w:p>
    <w:p w14:paraId="31C42A5A" w14:textId="77777777" w:rsidR="00054FE2" w:rsidRDefault="00000000">
      <w:pPr>
        <w:pStyle w:val="ListParagraph"/>
        <w:numPr>
          <w:ilvl w:val="0"/>
          <w:numId w:val="2"/>
        </w:numPr>
        <w:spacing w:after="70" w:line="268" w:lineRule="auto"/>
      </w:pPr>
      <w:r>
        <w:rPr>
          <w:b/>
          <w:bCs/>
        </w:rPr>
        <w:t xml:space="preserve">Comité de riesgo mensual </w:t>
      </w:r>
      <w:r>
        <w:t>que revisa exposiciones, cumplimiento de límites y ajusta la banda de política según la TRM y el mercado.</w:t>
      </w:r>
    </w:p>
    <w:p w14:paraId="4D9999CF" w14:textId="77777777" w:rsidR="00054FE2" w:rsidRDefault="00000000">
      <w:pPr>
        <w:pStyle w:val="ListParagraph"/>
        <w:numPr>
          <w:ilvl w:val="0"/>
          <w:numId w:val="2"/>
        </w:numPr>
        <w:spacing w:after="70" w:line="268" w:lineRule="auto"/>
      </w:pPr>
      <w:r>
        <w:rPr>
          <w:b/>
          <w:bCs/>
        </w:rPr>
        <w:t xml:space="preserve">Control de cupos de crédito de cobertura: </w:t>
      </w:r>
      <w:r>
        <w:t>no pactar coberturas sin línea disponible con bancos / Hedge Point; monitorear el consumo y avisar antes de exceder.</w:t>
      </w:r>
    </w:p>
    <w:p w14:paraId="18AE6F3F" w14:textId="77777777" w:rsidR="00054FE2" w:rsidRDefault="00000000">
      <w:pPr>
        <w:pStyle w:val="ListParagraph"/>
        <w:numPr>
          <w:ilvl w:val="0"/>
          <w:numId w:val="2"/>
        </w:numPr>
        <w:spacing w:after="70" w:line="268" w:lineRule="auto"/>
      </w:pPr>
      <w:r>
        <w:rPr>
          <w:b/>
          <w:bCs/>
        </w:rPr>
        <w:t xml:space="preserve">Límites por escrito: </w:t>
      </w:r>
      <w:r>
        <w:t>ratio de cobertura por banda de TRM, diferencial abierto neto (volumen y plazo), y posición de futuros nunca mayor que la posición física.</w:t>
      </w:r>
    </w:p>
    <w:p w14:paraId="76EE7D94" w14:textId="77777777" w:rsidR="00054FE2" w:rsidRDefault="00000000">
      <w:pPr>
        <w:pStyle w:val="ListParagraph"/>
        <w:numPr>
          <w:ilvl w:val="0"/>
          <w:numId w:val="2"/>
        </w:numPr>
        <w:spacing w:after="70" w:line="268" w:lineRule="auto"/>
      </w:pPr>
      <w:r>
        <w:rPr>
          <w:b/>
          <w:bCs/>
        </w:rPr>
        <w:t xml:space="preserve">Mandato acotado de tesorería </w:t>
      </w:r>
      <w:r>
        <w:t>y segregación entre quien ejecuta y quien contabiliza (la estrategia transaccional es distinta del registro contable).</w:t>
      </w:r>
    </w:p>
    <w:p w14:paraId="365491B9" w14:textId="77777777" w:rsidR="00054FE2" w:rsidRDefault="00000000">
      <w:pPr>
        <w:pStyle w:val="Heading1"/>
      </w:pPr>
      <w:bookmarkStart w:id="24" w:name="_Toc238748958"/>
      <w:r>
        <w:t>8. Calibración pendiente</w:t>
      </w:r>
      <w:bookmarkEnd w:id="24"/>
    </w:p>
    <w:p w14:paraId="656742E4" w14:textId="77777777" w:rsidR="00054FE2" w:rsidRDefault="00000000">
      <w:pPr>
        <w:spacing w:after="120" w:line="276" w:lineRule="auto"/>
      </w:pPr>
      <w:r>
        <w:t>Para fijar los umbrales exactos de las bandas y el break-even, se requiere confirmar:</w:t>
      </w:r>
    </w:p>
    <w:p w14:paraId="457E191E" w14:textId="77777777" w:rsidR="00054FE2" w:rsidRDefault="00000000">
      <w:pPr>
        <w:pStyle w:val="ListParagraph"/>
        <w:numPr>
          <w:ilvl w:val="0"/>
          <w:numId w:val="2"/>
        </w:numPr>
        <w:spacing w:after="70" w:line="268" w:lineRule="auto"/>
      </w:pPr>
      <w:r>
        <w:t>Costos fijos mensuales en COP (nómina + oficina).</w:t>
      </w:r>
    </w:p>
    <w:p w14:paraId="11966A25" w14:textId="77777777" w:rsidR="00054FE2" w:rsidRDefault="00000000">
      <w:pPr>
        <w:pStyle w:val="ListParagraph"/>
        <w:numPr>
          <w:ilvl w:val="0"/>
          <w:numId w:val="2"/>
        </w:numPr>
        <w:spacing w:after="70" w:line="268" w:lineRule="auto"/>
      </w:pPr>
      <w:r>
        <w:t>Margen / EBITDA objetivo (en USD y en COP).</w:t>
      </w:r>
    </w:p>
    <w:p w14:paraId="5272C38A" w14:textId="77777777" w:rsidR="00054FE2" w:rsidRDefault="00000000">
      <w:pPr>
        <w:pStyle w:val="ListParagraph"/>
        <w:numPr>
          <w:ilvl w:val="0"/>
          <w:numId w:val="2"/>
        </w:numPr>
        <w:spacing w:after="70" w:line="268" w:lineRule="auto"/>
      </w:pPr>
      <w:r>
        <w:t>Presupuesto oficial de TRM y cupos de cobertura por entidad.</w:t>
      </w:r>
    </w:p>
    <w:p w14:paraId="17C46485" w14:textId="77777777" w:rsidR="00054FE2" w:rsidRDefault="00000000">
      <w:pPr>
        <w:pStyle w:val="Heading1"/>
        <w:pageBreakBefore/>
      </w:pPr>
      <w:bookmarkStart w:id="25" w:name="_Toc238748959"/>
      <w:r>
        <w:lastRenderedPageBreak/>
        <w:t>9. Referencias de mercado</w:t>
      </w:r>
      <w:bookmarkEnd w:id="25"/>
    </w:p>
    <w:p w14:paraId="6450FE8F" w14:textId="77777777" w:rsidR="00054FE2" w:rsidRDefault="00000000">
      <w:pPr>
        <w:spacing w:after="120" w:line="276" w:lineRule="auto"/>
      </w:pPr>
      <w:r>
        <w:t>Fuentes autorizadas consultadas para las prácticas de referencia:</w:t>
      </w:r>
    </w:p>
    <w:p w14:paraId="12428F4A" w14:textId="77777777" w:rsidR="00054FE2" w:rsidRDefault="00000000">
      <w:pPr>
        <w:pStyle w:val="ListParagraph"/>
        <w:numPr>
          <w:ilvl w:val="0"/>
          <w:numId w:val="2"/>
        </w:numPr>
        <w:spacing w:after="70" w:line="268" w:lineRule="auto"/>
      </w:pPr>
      <w:hyperlink r:id="rId7" w:history="1">
        <w:r>
          <w:rPr>
            <w:rStyle w:val="Hyperlink"/>
            <w:sz w:val="19"/>
            <w:szCs w:val="19"/>
          </w:rPr>
          <w:t>ITC — The Coffee Exporter’s Guide (Futures, Hedging, Differentials, PTBF)</w:t>
        </w:r>
      </w:hyperlink>
    </w:p>
    <w:p w14:paraId="1E7FCD78" w14:textId="77777777" w:rsidR="00054FE2" w:rsidRDefault="00000000">
      <w:pPr>
        <w:pStyle w:val="ListParagraph"/>
        <w:numPr>
          <w:ilvl w:val="0"/>
          <w:numId w:val="2"/>
        </w:numPr>
        <w:spacing w:after="70" w:line="268" w:lineRule="auto"/>
      </w:pPr>
      <w:hyperlink r:id="rId8" w:history="1">
        <w:r>
          <w:rPr>
            <w:rStyle w:val="Hyperlink"/>
            <w:sz w:val="19"/>
            <w:szCs w:val="19"/>
          </w:rPr>
          <w:t>ICE — Coffee «C» Futures &amp; Options (brochure)</w:t>
        </w:r>
      </w:hyperlink>
    </w:p>
    <w:p w14:paraId="27FA484A" w14:textId="77777777" w:rsidR="00054FE2" w:rsidRDefault="00000000">
      <w:pPr>
        <w:pStyle w:val="ListParagraph"/>
        <w:numPr>
          <w:ilvl w:val="0"/>
          <w:numId w:val="2"/>
        </w:numPr>
        <w:spacing w:after="70" w:line="268" w:lineRule="auto"/>
      </w:pPr>
      <w:hyperlink r:id="rId9" w:history="1">
        <w:r>
          <w:rPr>
            <w:rStyle w:val="Hyperlink"/>
            <w:sz w:val="19"/>
            <w:szCs w:val="19"/>
          </w:rPr>
          <w:t>IISD — Market-based price risk management</w:t>
        </w:r>
      </w:hyperlink>
    </w:p>
    <w:p w14:paraId="47B4149A" w14:textId="77777777" w:rsidR="00054FE2" w:rsidRDefault="00000000">
      <w:pPr>
        <w:pStyle w:val="ListParagraph"/>
        <w:numPr>
          <w:ilvl w:val="0"/>
          <w:numId w:val="2"/>
        </w:numPr>
        <w:spacing w:after="70" w:line="268" w:lineRule="auto"/>
      </w:pPr>
      <w:hyperlink r:id="rId10" w:history="1">
        <w:r>
          <w:rPr>
            <w:rStyle w:val="Hyperlink"/>
            <w:sz w:val="19"/>
            <w:szCs w:val="19"/>
          </w:rPr>
          <w:t>FAO — Market-based instruments for agricultural price risk</w:t>
        </w:r>
      </w:hyperlink>
    </w:p>
    <w:p w14:paraId="628729FD" w14:textId="77777777" w:rsidR="00054FE2" w:rsidRDefault="00000000">
      <w:pPr>
        <w:pStyle w:val="ListParagraph"/>
        <w:numPr>
          <w:ilvl w:val="0"/>
          <w:numId w:val="2"/>
        </w:numPr>
        <w:spacing w:after="70" w:line="268" w:lineRule="auto"/>
      </w:pPr>
      <w:hyperlink r:id="rId11" w:history="1">
        <w:r>
          <w:rPr>
            <w:rStyle w:val="Hyperlink"/>
            <w:sz w:val="19"/>
            <w:szCs w:val="19"/>
          </w:rPr>
          <w:t>StoneX — Physical commodity hedging / risk management</w:t>
        </w:r>
      </w:hyperlink>
    </w:p>
    <w:p w14:paraId="7662CB23" w14:textId="77777777" w:rsidR="00054FE2" w:rsidRDefault="00000000">
      <w:pPr>
        <w:pStyle w:val="ListParagraph"/>
        <w:numPr>
          <w:ilvl w:val="0"/>
          <w:numId w:val="2"/>
        </w:numPr>
        <w:spacing w:after="70" w:line="268" w:lineRule="auto"/>
      </w:pPr>
      <w:hyperlink r:id="rId12" w:history="1">
        <w:r>
          <w:rPr>
            <w:rStyle w:val="Hyperlink"/>
            <w:sz w:val="19"/>
            <w:szCs w:val="19"/>
          </w:rPr>
          <w:t>Rabobank — Commodity price hedging (OTC, sin margin calls)</w:t>
        </w:r>
      </w:hyperlink>
    </w:p>
    <w:p w14:paraId="47180410" w14:textId="77777777" w:rsidR="00054FE2" w:rsidRDefault="00000000">
      <w:pPr>
        <w:pStyle w:val="ListParagraph"/>
        <w:numPr>
          <w:ilvl w:val="0"/>
          <w:numId w:val="2"/>
        </w:numPr>
        <w:spacing w:after="70" w:line="268" w:lineRule="auto"/>
      </w:pPr>
      <w:hyperlink r:id="rId13" w:history="1">
        <w:r>
          <w:rPr>
            <w:rStyle w:val="Hyperlink"/>
            <w:sz w:val="19"/>
            <w:szCs w:val="19"/>
          </w:rPr>
          <w:t>Cargill — Busting the myth of the «natural hedge» in FX</w:t>
        </w:r>
      </w:hyperlink>
    </w:p>
    <w:p w14:paraId="7F60A782" w14:textId="77777777" w:rsidR="00054FE2" w:rsidRDefault="00000000">
      <w:pPr>
        <w:pStyle w:val="ListParagraph"/>
        <w:numPr>
          <w:ilvl w:val="0"/>
          <w:numId w:val="2"/>
        </w:numPr>
        <w:spacing w:after="70" w:line="268" w:lineRule="auto"/>
      </w:pPr>
      <w:hyperlink r:id="rId14" w:history="1">
        <w:r>
          <w:rPr>
            <w:rStyle w:val="Hyperlink"/>
            <w:sz w:val="19"/>
            <w:szCs w:val="19"/>
          </w:rPr>
          <w:t>Convera — Non-deliverable forwards &amp; budget-rate hedging</w:t>
        </w:r>
      </w:hyperlink>
    </w:p>
    <w:p w14:paraId="3A07344B" w14:textId="77777777" w:rsidR="00054FE2" w:rsidRDefault="00000000">
      <w:pPr>
        <w:pStyle w:val="ListParagraph"/>
        <w:numPr>
          <w:ilvl w:val="0"/>
          <w:numId w:val="2"/>
        </w:numPr>
        <w:spacing w:after="70" w:line="268" w:lineRule="auto"/>
      </w:pPr>
      <w:hyperlink r:id="rId15" w:history="1">
        <w:r>
          <w:rPr>
            <w:rStyle w:val="Hyperlink"/>
            <w:sz w:val="19"/>
            <w:szCs w:val="19"/>
          </w:rPr>
          <w:t>Association of Corporate Treasurers — FX hedging: choosing the right path</w:t>
        </w:r>
      </w:hyperlink>
    </w:p>
    <w:p w14:paraId="416DE3B5" w14:textId="77777777" w:rsidR="00054FE2" w:rsidRDefault="00000000">
      <w:pPr>
        <w:pStyle w:val="ListParagraph"/>
        <w:numPr>
          <w:ilvl w:val="0"/>
          <w:numId w:val="2"/>
        </w:numPr>
        <w:spacing w:after="70" w:line="268" w:lineRule="auto"/>
      </w:pPr>
      <w:hyperlink r:id="rId16" w:history="1">
        <w:r>
          <w:rPr>
            <w:rStyle w:val="Hyperlink"/>
            <w:sz w:val="19"/>
            <w:szCs w:val="19"/>
          </w:rPr>
          <w:t>BIS — The use of FX derivatives by exporters</w:t>
        </w:r>
      </w:hyperlink>
    </w:p>
    <w:p w14:paraId="2FC57504" w14:textId="77777777" w:rsidR="00054FE2" w:rsidRDefault="00000000">
      <w:pPr>
        <w:pStyle w:val="ListParagraph"/>
        <w:numPr>
          <w:ilvl w:val="0"/>
          <w:numId w:val="2"/>
        </w:numPr>
        <w:spacing w:after="70" w:line="268" w:lineRule="auto"/>
      </w:pPr>
      <w:hyperlink r:id="rId17" w:history="1">
        <w:r>
          <w:rPr>
            <w:rStyle w:val="Hyperlink"/>
            <w:sz w:val="19"/>
            <w:szCs w:val="19"/>
          </w:rPr>
          <w:t>Bancolombia — Alternativas para cubrirse del riesgo cambiario</w:t>
        </w:r>
      </w:hyperlink>
    </w:p>
    <w:p w14:paraId="4526E143" w14:textId="77777777" w:rsidR="00054FE2" w:rsidRDefault="00000000">
      <w:pPr>
        <w:pStyle w:val="ListParagraph"/>
        <w:numPr>
          <w:ilvl w:val="0"/>
          <w:numId w:val="2"/>
        </w:numPr>
        <w:spacing w:after="70" w:line="268" w:lineRule="auto"/>
      </w:pPr>
      <w:hyperlink r:id="rId18" w:history="1">
        <w:r>
          <w:rPr>
            <w:rStyle w:val="Hyperlink"/>
            <w:sz w:val="19"/>
            <w:szCs w:val="19"/>
          </w:rPr>
          <w:t>EAFIT — Cobertura con derivados forward para el riesgo cambiario del exportador colombiano</w:t>
        </w:r>
      </w:hyperlink>
    </w:p>
    <w:p w14:paraId="7F9C93C3" w14:textId="77777777" w:rsidR="00054FE2" w:rsidRDefault="00054FE2">
      <w:pPr>
        <w:spacing w:after="200"/>
      </w:pPr>
    </w:p>
    <w:p w14:paraId="34DDAA88" w14:textId="77777777" w:rsidR="00054FE2" w:rsidRDefault="00054FE2">
      <w:pPr>
        <w:pBdr>
          <w:top w:val="single" w:sz="4" w:space="0" w:color="C9B9A1"/>
        </w:pBdr>
        <w:spacing w:before="200" w:after="60"/>
      </w:pPr>
    </w:p>
    <w:p w14:paraId="36E405A3" w14:textId="77777777" w:rsidR="00054FE2" w:rsidRDefault="00000000">
      <w:pPr>
        <w:spacing w:after="120" w:line="276" w:lineRule="auto"/>
      </w:pPr>
      <w:r>
        <w:rPr>
          <w:i/>
          <w:iCs/>
          <w:color w:val="6A6A6A"/>
          <w:sz w:val="19"/>
          <w:szCs w:val="19"/>
        </w:rPr>
        <w:t>Preparado para socialización con el equipo de Equation Coffee (Comité de Riesgo). Este documento es un borrador de política; los umbrales numéricos son ilustrativos hasta calibrar el break-even. Una vez aprobado, se implementa en el dashboard de coberturas.</w:t>
      </w:r>
    </w:p>
    <w:sectPr w:rsidR="00054FE2">
      <w:headerReference w:type="default" r:id="rId19"/>
      <w:footerReference w:type="default" r:id="rId20"/>
      <w:pgSz w:w="11906" w:h="16838"/>
      <w:pgMar w:top="1440" w:right="1152" w:bottom="1440" w:left="1152"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DC20AC" w14:textId="77777777" w:rsidR="00BD4858" w:rsidRDefault="00BD4858">
      <w:r>
        <w:separator/>
      </w:r>
    </w:p>
  </w:endnote>
  <w:endnote w:type="continuationSeparator" w:id="0">
    <w:p w14:paraId="71E5365F" w14:textId="77777777" w:rsidR="00BD4858" w:rsidRDefault="00BD4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3C7FA1" w14:textId="77777777" w:rsidR="00054FE2" w:rsidRDefault="00000000">
    <w:pPr>
      <w:spacing w:before="60"/>
      <w:jc w:val="center"/>
    </w:pPr>
    <w:r>
      <w:rPr>
        <w:color w:val="6A6A6A"/>
        <w:sz w:val="16"/>
        <w:szCs w:val="16"/>
      </w:rPr>
      <w:t xml:space="preserve">Confidencial — Uso interno      Página </w:t>
    </w:r>
    <w:r>
      <w:rPr>
        <w:color w:val="6A6A6A"/>
        <w:sz w:val="16"/>
        <w:szCs w:val="16"/>
      </w:rPr>
      <w:fldChar w:fldCharType="begin"/>
    </w:r>
    <w:r>
      <w:rPr>
        <w:color w:val="6A6A6A"/>
        <w:sz w:val="16"/>
        <w:szCs w:val="16"/>
      </w:rPr>
      <w:instrText>PAGE</w:instrText>
    </w:r>
    <w:r>
      <w:rPr>
        <w:color w:val="6A6A6A"/>
        <w:sz w:val="16"/>
        <w:szCs w:val="16"/>
      </w:rPr>
      <w:fldChar w:fldCharType="separate"/>
    </w:r>
    <w:r w:rsidR="00DA127E">
      <w:rPr>
        <w:noProof/>
        <w:color w:val="6A6A6A"/>
        <w:sz w:val="16"/>
        <w:szCs w:val="16"/>
      </w:rPr>
      <w:t>1</w:t>
    </w:r>
    <w:r>
      <w:rPr>
        <w:color w:val="6A6A6A"/>
        <w:sz w:val="16"/>
        <w:szCs w:val="16"/>
      </w:rPr>
      <w:fldChar w:fldCharType="end"/>
    </w:r>
    <w:r>
      <w:rPr>
        <w:color w:val="6A6A6A"/>
        <w:sz w:val="16"/>
        <w:szCs w:val="16"/>
      </w:rPr>
      <w:t xml:space="preserve"> de </w:t>
    </w:r>
    <w:r>
      <w:rPr>
        <w:color w:val="6A6A6A"/>
        <w:sz w:val="16"/>
        <w:szCs w:val="16"/>
      </w:rPr>
      <w:fldChar w:fldCharType="begin"/>
    </w:r>
    <w:r>
      <w:rPr>
        <w:color w:val="6A6A6A"/>
        <w:sz w:val="16"/>
        <w:szCs w:val="16"/>
      </w:rPr>
      <w:instrText>NUMPAGES</w:instrText>
    </w:r>
    <w:r>
      <w:rPr>
        <w:color w:val="6A6A6A"/>
        <w:sz w:val="16"/>
        <w:szCs w:val="16"/>
      </w:rPr>
      <w:fldChar w:fldCharType="separate"/>
    </w:r>
    <w:r w:rsidR="00DA127E">
      <w:rPr>
        <w:noProof/>
        <w:color w:val="6A6A6A"/>
        <w:sz w:val="16"/>
        <w:szCs w:val="16"/>
      </w:rPr>
      <w:t>3</w:t>
    </w:r>
    <w:r>
      <w:rPr>
        <w:color w:val="6A6A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DEF373" w14:textId="77777777" w:rsidR="00BD4858" w:rsidRDefault="00BD4858">
      <w:r>
        <w:separator/>
      </w:r>
    </w:p>
  </w:footnote>
  <w:footnote w:type="continuationSeparator" w:id="0">
    <w:p w14:paraId="2F8ABA47" w14:textId="77777777" w:rsidR="00BD4858" w:rsidRDefault="00BD4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67E75D" w14:textId="77777777" w:rsidR="00054FE2" w:rsidRDefault="00000000">
    <w:pPr>
      <w:jc w:val="right"/>
    </w:pPr>
    <w:r>
      <w:rPr>
        <w:color w:val="C9B9A1"/>
        <w:sz w:val="16"/>
        <w:szCs w:val="16"/>
      </w:rPr>
      <w:t>EQUATION COFFEE  ·  Política de Coberturas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88088E"/>
    <w:multiLevelType w:val="hybridMultilevel"/>
    <w:tmpl w:val="7DC67EC0"/>
    <w:lvl w:ilvl="0" w:tplc="00CE26CA">
      <w:start w:val="1"/>
      <w:numFmt w:val="bullet"/>
      <w:lvlText w:val="●"/>
      <w:lvlJc w:val="left"/>
      <w:pPr>
        <w:ind w:left="720" w:hanging="360"/>
      </w:pPr>
    </w:lvl>
    <w:lvl w:ilvl="1" w:tplc="677A2F86">
      <w:start w:val="1"/>
      <w:numFmt w:val="bullet"/>
      <w:lvlText w:val="○"/>
      <w:lvlJc w:val="left"/>
      <w:pPr>
        <w:ind w:left="1440" w:hanging="360"/>
      </w:pPr>
    </w:lvl>
    <w:lvl w:ilvl="2" w:tplc="AA2E4BA0">
      <w:start w:val="1"/>
      <w:numFmt w:val="bullet"/>
      <w:lvlText w:val="■"/>
      <w:lvlJc w:val="left"/>
      <w:pPr>
        <w:ind w:left="2160" w:hanging="360"/>
      </w:pPr>
    </w:lvl>
    <w:lvl w:ilvl="3" w:tplc="CE1A74CE">
      <w:start w:val="1"/>
      <w:numFmt w:val="bullet"/>
      <w:lvlText w:val="●"/>
      <w:lvlJc w:val="left"/>
      <w:pPr>
        <w:ind w:left="2880" w:hanging="360"/>
      </w:pPr>
    </w:lvl>
    <w:lvl w:ilvl="4" w:tplc="62FA7E24">
      <w:start w:val="1"/>
      <w:numFmt w:val="bullet"/>
      <w:lvlText w:val="○"/>
      <w:lvlJc w:val="left"/>
      <w:pPr>
        <w:ind w:left="3600" w:hanging="360"/>
      </w:pPr>
    </w:lvl>
    <w:lvl w:ilvl="5" w:tplc="A75CF356">
      <w:start w:val="1"/>
      <w:numFmt w:val="bullet"/>
      <w:lvlText w:val="■"/>
      <w:lvlJc w:val="left"/>
      <w:pPr>
        <w:ind w:left="4320" w:hanging="360"/>
      </w:pPr>
    </w:lvl>
    <w:lvl w:ilvl="6" w:tplc="BF00F5B4">
      <w:start w:val="1"/>
      <w:numFmt w:val="bullet"/>
      <w:lvlText w:val="●"/>
      <w:lvlJc w:val="left"/>
      <w:pPr>
        <w:ind w:left="5040" w:hanging="360"/>
      </w:pPr>
    </w:lvl>
    <w:lvl w:ilvl="7" w:tplc="7CDA5A6E">
      <w:start w:val="1"/>
      <w:numFmt w:val="bullet"/>
      <w:lvlText w:val="●"/>
      <w:lvlJc w:val="left"/>
      <w:pPr>
        <w:ind w:left="5760" w:hanging="360"/>
      </w:pPr>
    </w:lvl>
    <w:lvl w:ilvl="8" w:tplc="9646A8CC">
      <w:start w:val="1"/>
      <w:numFmt w:val="bullet"/>
      <w:lvlText w:val="●"/>
      <w:lvlJc w:val="left"/>
      <w:pPr>
        <w:ind w:left="6480" w:hanging="360"/>
      </w:pPr>
    </w:lvl>
  </w:abstractNum>
  <w:abstractNum w:abstractNumId="1" w15:restartNumberingAfterBreak="0">
    <w:nsid w:val="3CCA5682"/>
    <w:multiLevelType w:val="hybridMultilevel"/>
    <w:tmpl w:val="0ED42D3E"/>
    <w:lvl w:ilvl="0" w:tplc="F4809C48">
      <w:start w:val="1"/>
      <w:numFmt w:val="bullet"/>
      <w:lvlText w:val="•"/>
      <w:lvlJc w:val="left"/>
      <w:pPr>
        <w:ind w:left="460" w:hanging="260"/>
      </w:pPr>
      <w:rPr>
        <w:color w:val="1A383F"/>
      </w:rPr>
    </w:lvl>
    <w:lvl w:ilvl="1" w:tplc="F856B0DC">
      <w:numFmt w:val="decimal"/>
      <w:lvlText w:val=""/>
      <w:lvlJc w:val="left"/>
    </w:lvl>
    <w:lvl w:ilvl="2" w:tplc="57B416CE">
      <w:numFmt w:val="decimal"/>
      <w:lvlText w:val=""/>
      <w:lvlJc w:val="left"/>
    </w:lvl>
    <w:lvl w:ilvl="3" w:tplc="2F88D668">
      <w:numFmt w:val="decimal"/>
      <w:lvlText w:val=""/>
      <w:lvlJc w:val="left"/>
    </w:lvl>
    <w:lvl w:ilvl="4" w:tplc="0ECA9B7C">
      <w:numFmt w:val="decimal"/>
      <w:lvlText w:val=""/>
      <w:lvlJc w:val="left"/>
    </w:lvl>
    <w:lvl w:ilvl="5" w:tplc="5422FB72">
      <w:numFmt w:val="decimal"/>
      <w:lvlText w:val=""/>
      <w:lvlJc w:val="left"/>
    </w:lvl>
    <w:lvl w:ilvl="6" w:tplc="EBEE8D5A">
      <w:numFmt w:val="decimal"/>
      <w:lvlText w:val=""/>
      <w:lvlJc w:val="left"/>
    </w:lvl>
    <w:lvl w:ilvl="7" w:tplc="5C18A280">
      <w:numFmt w:val="decimal"/>
      <w:lvlText w:val=""/>
      <w:lvlJc w:val="left"/>
    </w:lvl>
    <w:lvl w:ilvl="8" w:tplc="A42803AA">
      <w:numFmt w:val="decimal"/>
      <w:lvlText w:val=""/>
      <w:lvlJc w:val="left"/>
    </w:lvl>
  </w:abstractNum>
  <w:num w:numId="1" w16cid:durableId="1296133503">
    <w:abstractNumId w:val="0"/>
    <w:lvlOverride w:ilvl="0">
      <w:startOverride w:val="1"/>
    </w:lvlOverride>
  </w:num>
  <w:num w:numId="2" w16cid:durableId="201440871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FE2"/>
    <w:rsid w:val="00054FE2"/>
    <w:rsid w:val="003842D6"/>
    <w:rsid w:val="00BD4858"/>
    <w:rsid w:val="00DA127E"/>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07A910D4"/>
  <w15:docId w15:val="{F606DE8C-2F6A-AD46-8F25-DB818189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52524"/>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4" w:space="4" w:color="C9B9A1"/>
      </w:pBdr>
      <w:spacing w:before="320" w:after="160"/>
      <w:outlineLvl w:val="0"/>
    </w:pPr>
    <w:rPr>
      <w:rFonts w:ascii="Georgia" w:eastAsia="Georgia" w:hAnsi="Georgia" w:cs="Georgia"/>
      <w:b/>
      <w:bCs/>
      <w:color w:val="1A383F"/>
      <w:sz w:val="30"/>
      <w:szCs w:val="30"/>
    </w:rPr>
  </w:style>
  <w:style w:type="paragraph" w:styleId="Heading2">
    <w:name w:val="heading 2"/>
    <w:uiPriority w:val="9"/>
    <w:unhideWhenUsed/>
    <w:qFormat/>
    <w:pPr>
      <w:keepNext/>
      <w:spacing w:before="220" w:after="100"/>
      <w:outlineLvl w:val="1"/>
    </w:pPr>
    <w:rPr>
      <w:rFonts w:ascii="Georgia" w:eastAsia="Georgia" w:hAnsi="Georgia" w:cs="Georgia"/>
      <w:b/>
      <w:bCs/>
      <w:color w:val="2450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127E"/>
    <w:pPr>
      <w:spacing w:after="100"/>
    </w:pPr>
  </w:style>
  <w:style w:type="paragraph" w:styleId="TOC2">
    <w:name w:val="toc 2"/>
    <w:basedOn w:val="Normal"/>
    <w:next w:val="Normal"/>
    <w:autoRedefine/>
    <w:uiPriority w:val="39"/>
    <w:unhideWhenUsed/>
    <w:rsid w:val="00DA12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ce.com/publicdocs/ICE_Coffee_Brochure.pdf" TargetMode="External"/><Relationship Id="rId13" Type="http://schemas.openxmlformats.org/officeDocument/2006/relationships/hyperlink" Target="https://www.cargill.com/commodity-price-risk/busting-the-myth-of-the-natural-hedge-in-foreign-exchange-risk" TargetMode="External"/><Relationship Id="rId18" Type="http://schemas.openxmlformats.org/officeDocument/2006/relationships/hyperlink" Target="https://repository.eafit.edu.co/server/api/core/bitstreams/0c5f28df-5b26-44e6-a09b-b3fd88264b21/conten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ntracen.org/coffee-guide-resource-hub/futures-markets-and-hedging" TargetMode="External"/><Relationship Id="rId12" Type="http://schemas.openxmlformats.org/officeDocument/2006/relationships/hyperlink" Target="https://www.rabobankna.com/commodity-price-hedging/" TargetMode="External"/><Relationship Id="rId17" Type="http://schemas.openxmlformats.org/officeDocument/2006/relationships/hyperlink" Target="https://blog.bancolombia.com/negocios/alternativas-riesgo-cambiario/" TargetMode="External"/><Relationship Id="rId2" Type="http://schemas.openxmlformats.org/officeDocument/2006/relationships/styles" Target="styles.xml"/><Relationship Id="rId16" Type="http://schemas.openxmlformats.org/officeDocument/2006/relationships/hyperlink" Target="https://www.bis.org/ifc/publ/ifcb43_u.pd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onex.com/en/physical-commodities/risk-management-physical-contracts/" TargetMode="External"/><Relationship Id="rId5" Type="http://schemas.openxmlformats.org/officeDocument/2006/relationships/footnotes" Target="footnotes.xml"/><Relationship Id="rId15" Type="http://schemas.openxmlformats.org/officeDocument/2006/relationships/hyperlink" Target="https://www.treasurers.org/hub/treasurer-magazine/fx-hedging-how-choose-right-path" TargetMode="External"/><Relationship Id="rId10" Type="http://schemas.openxmlformats.org/officeDocument/2006/relationships/hyperlink" Target="https://www.fao.org/4/ap308e/ap308e.pdf"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isd.org/system/files/publications/trade_price_risk.pdf" TargetMode="External"/><Relationship Id="rId14" Type="http://schemas.openxmlformats.org/officeDocument/2006/relationships/hyperlink" Target="https://convera.com/blog/cross-border-payments/non-deliverable-forwards-fx-risk-budget-rate-hedg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2924</Words>
  <Characters>14945</Characters>
  <Application>Microsoft Office Word</Application>
  <DocSecurity>0</DocSecurity>
  <Lines>373</Lines>
  <Paragraphs>255</Paragraphs>
  <ScaleCrop>false</ScaleCrop>
  <Company/>
  <LinksUpToDate>false</LinksUpToDate>
  <CharactersWithSpaces>17614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Gestión de Riesgos de Mercado y Coberturas</dc:title>
  <dc:creator>Equation Coffee</dc:creator>
  <cp:lastModifiedBy>Felipe Sardi</cp:lastModifiedBy>
  <cp:revision>2</cp:revision>
  <dcterms:created xsi:type="dcterms:W3CDTF">2026-08-27T23:49:00Z</dcterms:created>
  <dcterms:modified xsi:type="dcterms:W3CDTF">2026-08-27T23:49:00Z</dcterms:modified>
</cp:coreProperties>
</file>