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9119791eda24d02932a1f5035deff63c03e431"/>
    <w:p>
      <w:pPr>
        <w:pStyle w:val="Heading1"/>
      </w:pPr>
      <w:r>
        <w:t xml:space="preserve">Análisis Legal: Extensión de Nota Convertible $5M → $5.5M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2026-02-02</w:t>
      </w:r>
      <w:r>
        <w:t xml:space="preserve"> </w:t>
      </w:r>
      <w:r>
        <w:rPr>
          <w:b/>
          <w:bCs/>
        </w:rPr>
        <w:t xml:space="preserve">Preparado para:</w:t>
      </w:r>
      <w:r>
        <w:t xml:space="preserve"> </w:t>
      </w:r>
      <w:r>
        <w:t xml:space="preserve">Felipe Sardi / Ana María Peláez</w:t>
      </w:r>
      <w:r>
        <w:t xml:space="preserve"> </w:t>
      </w:r>
      <w:r>
        <w:rPr>
          <w:b/>
          <w:bCs/>
        </w:rPr>
        <w:t xml:space="preserve">Documento analizado:</w:t>
      </w:r>
      <w:r>
        <w:t xml:space="preserve"> </w:t>
      </w:r>
      <w:r>
        <w:t xml:space="preserve">Convertible Loan Agreement - Libertario Coffee Roasters Corp</w:t>
      </w:r>
    </w:p>
    <w:p>
      <w:r>
        <w:pict>
          <v:rect style="width:0;height:1.5pt" o:hralign="center" o:hrstd="t" o:hr="t"/>
        </w:pict>
      </w:r>
    </w:p>
    <w:bookmarkStart w:id="9" w:name="hallazgo-crítico-ley-aplicable"/>
    <w:p>
      <w:pPr>
        <w:pStyle w:val="Heading2"/>
      </w:pPr>
      <w:r>
        <w:t xml:space="preserve">1. HALLAZGO CRÍTICO: Ley Aplicable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La nota convertible NO está bajo ley de Nueva York.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Establecido en el Acuerdo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aplicable</w:t>
            </w:r>
          </w:p>
        </w:tc>
        <w:tc>
          <w:tcPr/>
          <w:p>
            <w:pPr>
              <w:pStyle w:val="Compact"/>
            </w:pPr>
            <w:r>
              <w:t xml:space="preserve">Panamá (Sección 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Arbitraje</w:t>
            </w:r>
          </w:p>
        </w:tc>
        <w:tc>
          <w:tcPr/>
          <w:p>
            <w:pPr>
              <w:pStyle w:val="Compact"/>
            </w:pPr>
            <w:r>
              <w:t xml:space="preserve">ICC - Panamá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 arbitraje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</w:tbl>
    <w:p>
      <w:pPr>
        <w:pStyle w:val="BlockText"/>
      </w:pPr>
      <w:r>
        <w:t xml:space="preserve">“This Agreement shall be governed by and construed under the laws of the State of Panama.”</w:t>
      </w:r>
    </w:p>
    <w:p>
      <w:pPr>
        <w:pStyle w:val="FirstParagraph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El</w:t>
      </w:r>
      <w:r>
        <w:t xml:space="preserve"> </w:t>
      </w:r>
      <w:r>
        <w:t xml:space="preserve">“otro sí”</w:t>
      </w:r>
      <w:r>
        <w:t xml:space="preserve"> </w:t>
      </w:r>
      <w:r>
        <w:t xml:space="preserve">o enmienda debe redactarse bajo ley panameña, no neoyorquina. Sin embargo, la práctica de redacción puede seguir estándares internacionales.</w:t>
      </w:r>
    </w:p>
    <w:p>
      <w:r>
        <w:pict>
          <v:rect style="width:0;height:1.5pt" o:hralign="center" o:hrstd="t" o:hr="t"/>
        </w:pict>
      </w:r>
    </w:p>
    <w:bookmarkEnd w:id="9"/>
    <w:bookmarkStart w:id="13" w:name="análisis-del-documento-existente"/>
    <w:p>
      <w:pPr>
        <w:pStyle w:val="Heading2"/>
      </w:pPr>
      <w:r>
        <w:t xml:space="preserve">2. ANÁLISIS DEL DOCUMENTO EXISTENTE</w:t>
      </w:r>
    </w:p>
    <w:bookmarkStart w:id="10" w:name="definición-actual-de-valuation-cap"/>
    <w:p>
      <w:pPr>
        <w:pStyle w:val="Heading3"/>
      </w:pPr>
      <w:r>
        <w:t xml:space="preserve">2.1 Definición Actual de Valuation Cap</w:t>
      </w:r>
    </w:p>
    <w:p>
      <w:pPr>
        <w:pStyle w:val="FirstParagraph"/>
      </w:pPr>
      <w:r>
        <w:rPr>
          <w:b/>
          <w:bCs/>
        </w:rPr>
        <w:t xml:space="preserve">Sección 1 - Definiciones:</w:t>
      </w:r>
    </w:p>
    <w:p>
      <w:pPr>
        <w:pStyle w:val="SourceCode"/>
      </w:pPr>
      <w:r>
        <w:rPr>
          <w:rStyle w:val="VerbatimChar"/>
        </w:rPr>
        <w:t xml:space="preserve">Valuation Cap: USD 40,000,000 (pre-money) + USD 5,000,000 (finance round).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- Cap de valoración: $40M pre-money</w:t>
      </w:r>
      <w:r>
        <w:t xml:space="preserve"> </w:t>
      </w:r>
      <w:r>
        <w:t xml:space="preserve">- Tamaño de la ronda: $5M (indicativo, no sumatorio)</w:t>
      </w:r>
      <w:r>
        <w:t xml:space="preserve"> </w:t>
      </w:r>
      <w:r>
        <w:t xml:space="preserve">- La frase</w:t>
      </w:r>
      <w:r>
        <w:t xml:space="preserve"> </w:t>
      </w:r>
      <w:r>
        <w:t xml:space="preserve">“finance round”</w:t>
      </w:r>
      <w:r>
        <w:t xml:space="preserve"> </w:t>
      </w:r>
      <w:r>
        <w:t xml:space="preserve">describe el tamaño contemplado de la ronda</w:t>
      </w:r>
    </w:p>
    <w:bookmarkEnd w:id="10"/>
    <w:bookmarkStart w:id="11" w:name="cláusula-que-permite-notas-adicionales"/>
    <w:p>
      <w:pPr>
        <w:pStyle w:val="Heading3"/>
      </w:pPr>
      <w:r>
        <w:t xml:space="preserve">2.2 Cláusula que Permite Notas Adicionales</w:t>
      </w:r>
    </w:p>
    <w:p>
      <w:pPr>
        <w:pStyle w:val="FirstParagraph"/>
      </w:pPr>
      <w:r>
        <w:rPr>
          <w:b/>
          <w:bCs/>
        </w:rPr>
        <w:t xml:space="preserve">Whereas (B):</w:t>
      </w:r>
    </w:p>
    <w:p>
      <w:pPr>
        <w:pStyle w:val="SourceCode"/>
      </w:pPr>
      <w:r>
        <w:rPr>
          <w:rStyle w:val="VerbatimChar"/>
        </w:rPr>
        <w:t xml:space="preserve">"This Agreement is one of a series of convertible loan agreements entered or to be</w:t>
      </w:r>
      <w:r>
        <w:br/>
      </w:r>
      <w:r>
        <w:rPr>
          <w:rStyle w:val="VerbatimChar"/>
        </w:rPr>
        <w:t xml:space="preserve">entered into by the Company with Investors with similar terms and in the same form</w:t>
      </w:r>
      <w:r>
        <w:br/>
      </w:r>
      <w:r>
        <w:rPr>
          <w:rStyle w:val="VerbatimChar"/>
        </w:rPr>
        <w:t xml:space="preserve">as set forth herein, except mainly for the economic terms and the date of issuance</w:t>
      </w:r>
      <w:r>
        <w:br/>
      </w:r>
      <w:r>
        <w:rPr>
          <w:rStyle w:val="VerbatimChar"/>
        </w:rPr>
        <w:t xml:space="preserve">which may differ."</w:t>
      </w:r>
    </w:p>
    <w:p>
      <w:pPr>
        <w:pStyle w:val="FirstParagraph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El acuerdo EXPLÍCITAMENTE contempla:</w:t>
      </w:r>
      <w:r>
        <w:t xml:space="preserve"> </w:t>
      </w:r>
      <w:r>
        <w:t xml:space="preserve">- Emisión de notas adicionales</w:t>
      </w:r>
      <w:r>
        <w:t xml:space="preserve"> </w:t>
      </w:r>
      <w:r>
        <w:t xml:space="preserve">- Términos económicos pueden diferir</w:t>
      </w:r>
      <w:r>
        <w:t xml:space="preserve"> </w:t>
      </w:r>
      <w:r>
        <w:t xml:space="preserve">- Fechas de emisión pueden diferir</w:t>
      </w:r>
    </w:p>
    <w:bookmarkEnd w:id="11"/>
    <w:bookmarkStart w:id="12" w:name="cláusula-de-enmienda"/>
    <w:p>
      <w:pPr>
        <w:pStyle w:val="Heading3"/>
      </w:pPr>
      <w:r>
        <w:t xml:space="preserve">2.3 Cláusula de Enmienda</w:t>
      </w:r>
    </w:p>
    <w:p>
      <w:pPr>
        <w:pStyle w:val="FirstParagraph"/>
      </w:pPr>
      <w:r>
        <w:rPr>
          <w:b/>
          <w:bCs/>
        </w:rPr>
        <w:t xml:space="preserve">Sección 16:</w:t>
      </w:r>
    </w:p>
    <w:p>
      <w:pPr>
        <w:pStyle w:val="SourceCode"/>
      </w:pPr>
      <w:r>
        <w:rPr>
          <w:rStyle w:val="VerbatimChar"/>
        </w:rPr>
        <w:t xml:space="preserve">"The amendment or waiver of any term of this Agreement shall be subject to the</w:t>
      </w:r>
      <w:r>
        <w:br/>
      </w:r>
      <w:r>
        <w:rPr>
          <w:rStyle w:val="VerbatimChar"/>
        </w:rPr>
        <w:t xml:space="preserve">written consent of the Company and the Investor."</w:t>
      </w:r>
    </w:p>
    <w:p>
      <w:pPr>
        <w:pStyle w:val="FirstParagraph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Para modificar cualquier término de UNA nota, se requiere:</w:t>
      </w:r>
      <w:r>
        <w:t xml:space="preserve"> </w:t>
      </w:r>
      <w:r>
        <w:t xml:space="preserve">- Consentimiento de la Compañía</w:t>
      </w:r>
      <w:r>
        <w:t xml:space="preserve"> </w:t>
      </w:r>
      <w:r>
        <w:t xml:space="preserve">- Consentimiento del Inversionista específico</w:t>
      </w:r>
    </w:p>
    <w:p>
      <w:pPr>
        <w:pStyle w:val="BodyText"/>
      </w:pPr>
      <w:r>
        <w:rPr>
          <w:b/>
          <w:bCs/>
        </w:rPr>
        <w:t xml:space="preserve">NO hay cláusula de</w:t>
      </w:r>
      <w:r>
        <w:rPr>
          <w:b/>
          <w:bCs/>
        </w:rPr>
        <w:t xml:space="preserve"> </w:t>
      </w:r>
      <w:r>
        <w:rPr>
          <w:b/>
          <w:bCs/>
        </w:rPr>
        <w:t xml:space="preserve">“Investor Majority”</w:t>
      </w:r>
      <w:r>
        <w:rPr>
          <w:b/>
          <w:bCs/>
        </w:rPr>
        <w:t xml:space="preserve"> </w:t>
      </w:r>
      <w:r>
        <w:rPr>
          <w:b/>
          <w:bCs/>
        </w:rPr>
        <w:t xml:space="preserve">para enmiendas</w:t>
      </w:r>
      <w:r>
        <w:t xml:space="preserve"> </w:t>
      </w:r>
      <w:r>
        <w:t xml:space="preserve">- cada inversionista debe consentir individualmente a cambios en SU nota.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opciones-para-la-extensión"/>
    <w:p>
      <w:pPr>
        <w:pStyle w:val="Heading2"/>
      </w:pPr>
      <w:r>
        <w:t xml:space="preserve">3. OPCIONES PARA LA EXTENSIÓN</w:t>
      </w:r>
    </w:p>
    <w:bookmarkStart w:id="14" w:name="Xb1ffe03b9cbdf2034940e37577051804edbd95b"/>
    <w:p>
      <w:pPr>
        <w:pStyle w:val="Heading3"/>
      </w:pPr>
      <w:r>
        <w:t xml:space="preserve">Opción A: Enmienda al Acuerdo Marco (NO RECOMENDADA)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Modificar la definición de</w:t>
      </w:r>
      <w:r>
        <w:t xml:space="preserve"> </w:t>
      </w:r>
      <w:r>
        <w:t xml:space="preserve">“finance round”</w:t>
      </w:r>
      <w:r>
        <w:t xml:space="preserve"> </w:t>
      </w:r>
      <w:r>
        <w:t xml:space="preserve">de $5M a $5.5M en todos los acuerdos existentes.</w:t>
      </w:r>
    </w:p>
    <w:p>
      <w:pPr>
        <w:pStyle w:val="BodyText"/>
      </w:pPr>
      <w:r>
        <w:rPr>
          <w:b/>
          <w:bCs/>
        </w:rPr>
        <w:t xml:space="preserve">Requiere:</w:t>
      </w:r>
      <w:r>
        <w:t xml:space="preserve"> </w:t>
      </w:r>
      <w:r>
        <w:t xml:space="preserve">- Consentimiento escrito de los 14 inversionistas existentes</w:t>
      </w:r>
      <w:r>
        <w:t xml:space="preserve"> </w:t>
      </w:r>
      <w:r>
        <w:t xml:space="preserve">- 14 documentos de enmienda individuales</w:t>
      </w:r>
      <w:r>
        <w:t xml:space="preserve"> </w:t>
      </w:r>
      <w:r>
        <w:t xml:space="preserve">- Firmas de todos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 Administrativamente complejo</w:t>
      </w:r>
      <w:r>
        <w:t xml:space="preserve"> </w:t>
      </w:r>
      <w:r>
        <w:t xml:space="preserve">- Cualquier inversionista puede negarse</w:t>
      </w:r>
      <w:r>
        <w:t xml:space="preserve"> </w:t>
      </w:r>
      <w:r>
        <w:t xml:space="preserve">- Retrasa el cierre de los $500K adicionales</w:t>
      </w:r>
      <w:r>
        <w:t xml:space="preserve"> </w:t>
      </w:r>
      <w:r>
        <w:t xml:space="preserve">- Los inversionistas pueden pedir algo a cambio</w:t>
      </w:r>
    </w:p>
    <w:p>
      <w:pPr>
        <w:pStyle w:val="BodyText"/>
      </w:pPr>
      <w:r>
        <w:rPr>
          <w:b/>
          <w:bCs/>
        </w:rPr>
        <w:t xml:space="preserve">Calificación:</w:t>
      </w:r>
      <w:r>
        <w:t xml:space="preserve"> </w:t>
      </w:r>
      <w:r>
        <w:t xml:space="preserve">❌ No recomendada</w:t>
      </w:r>
    </w:p>
    <w:p>
      <w:r>
        <w:pict>
          <v:rect style="width:0;height:1.5pt" o:hralign="center" o:hrstd="t" o:hr="t"/>
        </w:pict>
      </w:r>
    </w:p>
    <w:bookmarkEnd w:id="14"/>
    <w:bookmarkStart w:id="15" w:name="Xc420999477af505281c2f3c266fb6459612e994"/>
    <w:p>
      <w:pPr>
        <w:pStyle w:val="Heading3"/>
      </w:pPr>
      <w:r>
        <w:t xml:space="preserve">Opción B: Emisión de Nueva Nota Separada (TÉCNICAMENTE VÁLIDA)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Emitir una nueva nota de $500K bajo Whereas (B) con términos diferentes (ej: cap $50M).</w:t>
      </w:r>
    </w:p>
    <w:p>
      <w:pPr>
        <w:pStyle w:val="BodyText"/>
      </w:pPr>
      <w:r>
        <w:rPr>
          <w:b/>
          <w:bCs/>
        </w:rPr>
        <w:t xml:space="preserve">Requiere:</w:t>
      </w:r>
      <w:r>
        <w:t xml:space="preserve"> </w:t>
      </w:r>
      <w:r>
        <w:t xml:space="preserve">- Solo firma del nuevo inversionista</w:t>
      </w:r>
      <w:r>
        <w:t xml:space="preserve"> </w:t>
      </w:r>
      <w:r>
        <w:t xml:space="preserve">- No requiere consentimiento de existentes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 El nuevo inversionista paga</w:t>
      </w:r>
      <w:r>
        <w:t xml:space="preserve"> </w:t>
      </w:r>
      <w:r>
        <w:t xml:space="preserve">“más”</w:t>
      </w:r>
      <w:r>
        <w:t xml:space="preserve"> </w:t>
      </w:r>
      <w:r>
        <w:t xml:space="preserve">(cap más alto)</w:t>
      </w:r>
      <w:r>
        <w:t xml:space="preserve"> </w:t>
      </w:r>
      <w:r>
        <w:t xml:space="preserve">- Puede generar preguntas incómodas</w:t>
      </w:r>
      <w:r>
        <w:t xml:space="preserve"> </w:t>
      </w:r>
      <w:r>
        <w:t xml:space="preserve">- Complejidad en cap table</w:t>
      </w:r>
    </w:p>
    <w:p>
      <w:pPr>
        <w:pStyle w:val="BodyText"/>
      </w:pPr>
      <w:r>
        <w:rPr>
          <w:b/>
          <w:bCs/>
        </w:rPr>
        <w:t xml:space="preserve">Calificación:</w:t>
      </w:r>
      <w:r>
        <w:t xml:space="preserve"> </w:t>
      </w:r>
      <w:r>
        <w:t xml:space="preserve">⚠️ Válida pero comercialmente incómoda</w:t>
      </w:r>
    </w:p>
    <w:p>
      <w:r>
        <w:pict>
          <v:rect style="width:0;height:1.5pt" o:hralign="center" o:hrstd="t" o:hr="t"/>
        </w:pict>
      </w:r>
    </w:p>
    <w:bookmarkEnd w:id="15"/>
    <w:bookmarkStart w:id="16" w:name="X176c3f9aeeb0cee9f5424f55f3b33686314d96e"/>
    <w:p>
      <w:pPr>
        <w:pStyle w:val="Heading3"/>
      </w:pPr>
      <w:r>
        <w:t xml:space="preserve">Opción C: Emisión de Nueva Nota con MISMOS Términos (RECOMENDADA)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Emitir nota adicional de $500K bajo Whereas (B) con los mismos términos ($40M cap, 20% descuento, etc.)</w:t>
      </w:r>
    </w:p>
    <w:p>
      <w:pPr>
        <w:pStyle w:val="BodyText"/>
      </w:pPr>
      <w:r>
        <w:rPr>
          <w:b/>
          <w:bCs/>
        </w:rPr>
        <w:t xml:space="preserve">Requiere:</w:t>
      </w:r>
      <w:r>
        <w:t xml:space="preserve"> </w:t>
      </w:r>
      <w:r>
        <w:t xml:space="preserve">- Solo firma del nuevo inversionista</w:t>
      </w:r>
      <w:r>
        <w:t xml:space="preserve"> </w:t>
      </w:r>
      <w:r>
        <w:t xml:space="preserve">- Notificación cortesía a existentes (no consentimiento)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Legalmente limpio - el acuerdo lo contempla</w:t>
      </w:r>
      <w:r>
        <w:t xml:space="preserve"> </w:t>
      </w:r>
      <w:r>
        <w:t xml:space="preserve">- No requiere consentimiento de existentes</w:t>
      </w:r>
      <w:r>
        <w:t xml:space="preserve"> </w:t>
      </w:r>
      <w:r>
        <w:t xml:space="preserve">- Administrativamente simple</w:t>
      </w:r>
      <w:r>
        <w:t xml:space="preserve"> </w:t>
      </w:r>
      <w:r>
        <w:t xml:space="preserve">- Mismo tratamiento para todos</w:t>
      </w:r>
    </w:p>
    <w:p>
      <w:pPr>
        <w:pStyle w:val="BodyText"/>
      </w:pPr>
      <w:r>
        <w:rPr>
          <w:b/>
          <w:bCs/>
        </w:rPr>
        <w:t xml:space="preserve">Dilución:</w:t>
      </w:r>
      <w:r>
        <w:t xml:space="preserve"> </w:t>
      </w:r>
      <w:r>
        <w:t xml:space="preserve">~1.3% para inversionistas existentes (aceptable y estándar)</w:t>
      </w:r>
    </w:p>
    <w:p>
      <w:pPr>
        <w:pStyle w:val="BodyText"/>
      </w:pPr>
      <w:r>
        <w:rPr>
          <w:b/>
          <w:bCs/>
        </w:rPr>
        <w:t xml:space="preserve">Calificación: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RECOMENDADA</w:t>
      </w:r>
    </w:p>
    <w:p>
      <w:r>
        <w:pict>
          <v:rect style="width:0;height:1.5pt" o:hralign="center" o:hrstd="t" o:hr="t"/>
        </w:pict>
      </w:r>
    </w:p>
    <w:bookmarkEnd w:id="16"/>
    <w:bookmarkStart w:id="17" w:name="X3482984310f6200831ef444e549d05f0f199db7"/>
    <w:p>
      <w:pPr>
        <w:pStyle w:val="Heading3"/>
      </w:pPr>
      <w:r>
        <w:t xml:space="preserve">Opción D: Enmienda Simple + Notificación (ALTERNATIVA RECOMENDADA)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1. Modificar SOLO la definición de</w:t>
      </w:r>
      <w:r>
        <w:t xml:space="preserve"> </w:t>
      </w:r>
      <w:r>
        <w:t xml:space="preserve">“finance round”</w:t>
      </w:r>
      <w:r>
        <w:t xml:space="preserve"> </w:t>
      </w:r>
      <w:r>
        <w:t xml:space="preserve">en nuevas notas</w:t>
      </w:r>
      <w:r>
        <w:t xml:space="preserve"> </w:t>
      </w:r>
      <w:r>
        <w:t xml:space="preserve">2. Notificar a inversionistas existentes por cortesía</w:t>
      </w:r>
      <w:r>
        <w:t xml:space="preserve"> </w:t>
      </w:r>
      <w:r>
        <w:t xml:space="preserve">3. No modificar documentos existentes</w:t>
      </w:r>
    </w:p>
    <w:p>
      <w:pPr>
        <w:pStyle w:val="BodyText"/>
      </w:pPr>
      <w:r>
        <w:rPr>
          <w:b/>
          <w:bCs/>
        </w:rPr>
        <w:t xml:space="preserve">Documento requerido:</w:t>
      </w:r>
      <w:r>
        <w:t xml:space="preserve"> </w:t>
      </w:r>
      <w:r>
        <w:t xml:space="preserve">-</w:t>
      </w:r>
      <w:r>
        <w:t xml:space="preserve"> </w:t>
      </w:r>
      <w:r>
        <w:t xml:space="preserve">“Side Letter”</w:t>
      </w:r>
      <w:r>
        <w:t xml:space="preserve"> </w:t>
      </w:r>
      <w:r>
        <w:t xml:space="preserve">o</w:t>
      </w:r>
      <w:r>
        <w:t xml:space="preserve"> </w:t>
      </w:r>
      <w:r>
        <w:t xml:space="preserve">“Acknowledgment”</w:t>
      </w:r>
      <w:r>
        <w:t xml:space="preserve"> </w:t>
      </w:r>
      <w:r>
        <w:t xml:space="preserve">donde la Compañía informa que está ampliando la ronda</w:t>
      </w:r>
      <w:r>
        <w:t xml:space="preserve"> </w:t>
      </w:r>
      <w:r>
        <w:t xml:space="preserve">- No requiere firma de inversionistas existentes</w:t>
      </w:r>
    </w:p>
    <w:p>
      <w:pPr>
        <w:pStyle w:val="BodyText"/>
      </w:pPr>
      <w:r>
        <w:rPr>
          <w:b/>
          <w:bCs/>
        </w:rPr>
        <w:t xml:space="preserve">Calificación: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RECOMENDADA (más simple)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comendación-final"/>
    <w:p>
      <w:pPr>
        <w:pStyle w:val="Heading2"/>
      </w:pPr>
      <w:r>
        <w:t xml:space="preserve">4. RECOMENDACIÓN FINAL</w:t>
      </w:r>
    </w:p>
    <w:p>
      <w:pPr>
        <w:pStyle w:val="FirstParagraph"/>
      </w:pPr>
      <w:r>
        <w:rPr>
          <w:b/>
          <w:bCs/>
        </w:rPr>
        <w:t xml:space="preserve">Proceder con Opción C o 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Emitir nueva nota de $500K</w:t>
      </w:r>
      <w:r>
        <w:t xml:space="preserve"> </w:t>
      </w:r>
      <w:r>
        <w:t xml:space="preserve">usando el mismo template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Modificar SOLO una línea</w:t>
      </w:r>
      <w:r>
        <w:t xml:space="preserve"> </w:t>
      </w:r>
      <w:r>
        <w:t xml:space="preserve">en la nueva nota: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ANTES: "Valuation Cap: USD 40,000,000 (pre-money) + USD 5,000,000 (finance round)"</w:t>
      </w:r>
      <w:r>
        <w:br/>
      </w:r>
      <w:r>
        <w:rPr>
          <w:rStyle w:val="VerbatimChar"/>
        </w:rPr>
        <w:t xml:space="preserve">DESPUÉS: "Valuation Cap: USD 40,000,000 (pre-money) + USD 5,500,000 (finance round)"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Enviar email informativo</w:t>
      </w:r>
      <w:r>
        <w:t xml:space="preserve"> </w:t>
      </w:r>
      <w:r>
        <w:t xml:space="preserve">a inversionistas existentes (ya preparado)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modificar</w:t>
      </w:r>
      <w:r>
        <w:t xml:space="preserve"> </w:t>
      </w:r>
      <w:r>
        <w:t xml:space="preserve">los acuerdos ya firmados</w:t>
      </w:r>
    </w:p>
    <w:p>
      <w:pPr>
        <w:pStyle w:val="FirstParagraph"/>
      </w:pPr>
      <w:r>
        <w:rPr>
          <w:b/>
          <w:bCs/>
        </w:rPr>
        <w:t xml:space="preserve">Justificación legal:</w:t>
      </w:r>
      <w:r>
        <w:t xml:space="preserve"> </w:t>
      </w:r>
      <w:r>
        <w:t xml:space="preserve">- Whereas (B) permite explícitamente términos diferentes</w:t>
      </w:r>
      <w:r>
        <w:t xml:space="preserve"> </w:t>
      </w:r>
      <w:r>
        <w:t xml:space="preserve">- El cambio solo afecta el tamaño indicativo de la ronda</w:t>
      </w:r>
      <w:r>
        <w:t xml:space="preserve"> </w:t>
      </w:r>
      <w:r>
        <w:t xml:space="preserve">- El Valuation Cap ($40M) NO cambia</w:t>
      </w:r>
      <w:r>
        <w:t xml:space="preserve"> </w:t>
      </w:r>
      <w:r>
        <w:t xml:space="preserve">- Los términos económicos de conversión siguen iguales</w:t>
      </w:r>
    </w:p>
    <w:p>
      <w:r>
        <w:pict>
          <v:rect style="width:0;height:1.5pt" o:hralign="center" o:hrstd="t" o:hr="t"/>
        </w:pict>
      </w:r>
    </w:p>
    <w:bookmarkEnd w:id="19"/>
    <w:bookmarkStart w:id="20" w:name="documentos-a-preparar"/>
    <w:p>
      <w:pPr>
        <w:pStyle w:val="Heading2"/>
      </w:pPr>
      <w:r>
        <w:t xml:space="preserve">5. DOCUMENTOS A PREPARAR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233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Firma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Nueva Nota $500K</w:t>
            </w:r>
          </w:p>
        </w:tc>
        <w:tc>
          <w:tcPr/>
          <w:p>
            <w:pPr>
              <w:pStyle w:val="Compact"/>
            </w:pPr>
            <w:r>
              <w:t xml:space="preserve">Contrato con nuevo inversionista</w:t>
            </w:r>
          </w:p>
        </w:tc>
        <w:tc>
          <w:tcPr/>
          <w:p>
            <w:pPr>
              <w:pStyle w:val="Compact"/>
            </w:pPr>
            <w:r>
              <w:t xml:space="preserve">Nuevo inversionista + Libertario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Email informativo</w:t>
            </w:r>
          </w:p>
        </w:tc>
        <w:tc>
          <w:tcPr/>
          <w:p>
            <w:pPr>
              <w:pStyle w:val="Compact"/>
            </w:pPr>
            <w:r>
              <w:t xml:space="preserve">Cortesía a inversionistas existentes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Side Letter (opcional)</w:t>
            </w:r>
          </w:p>
        </w:tc>
        <w:tc>
          <w:tcPr/>
          <w:p>
            <w:pPr>
              <w:pStyle w:val="Compact"/>
            </w:pPr>
            <w:r>
              <w:t xml:space="preserve">Formalizar la extensión</w:t>
            </w:r>
          </w:p>
        </w:tc>
        <w:tc>
          <w:tcPr/>
          <w:p>
            <w:pPr>
              <w:pStyle w:val="Compact"/>
            </w:pPr>
            <w:r>
              <w:t xml:space="preserve">Solo Libertario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iesgos-y-mitigación"/>
    <w:p>
      <w:pPr>
        <w:pStyle w:val="Heading2"/>
      </w:pPr>
      <w:r>
        <w:t xml:space="preserve">6. RIESGOS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261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Inversionista existente se queja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Email proactivo con transparencia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Inversionista pide mismos derechos que nuevo</w:t>
            </w:r>
          </w:p>
        </w:tc>
        <w:tc>
          <w:tcPr/>
          <w:p>
            <w:pPr>
              <w:pStyle w:val="Compact"/>
            </w:pPr>
            <w:r>
              <w:t xml:space="preserve">Muy baja</w:t>
            </w:r>
          </w:p>
        </w:tc>
        <w:tc>
          <w:tcPr/>
          <w:p>
            <w:pPr>
              <w:pStyle w:val="Compact"/>
            </w:pPr>
            <w:r>
              <w:t xml:space="preserve">Ya tienen mejores términos (entrada más temprana)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Disputa sobre interpretación</w:t>
            </w:r>
          </w:p>
        </w:tc>
        <w:tc>
          <w:tcPr/>
          <w:p>
            <w:pPr>
              <w:pStyle w:val="Compact"/>
            </w:pPr>
            <w:r>
              <w:t xml:space="preserve">Muy baja</w:t>
            </w:r>
          </w:p>
        </w:tc>
        <w:tc>
          <w:tcPr/>
          <w:p>
            <w:pPr>
              <w:pStyle w:val="Compact"/>
            </w:pPr>
            <w:r>
              <w:t xml:space="preserve">Whereas (B) es explícito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eguntas-para-ana-maría"/>
    <w:p>
      <w:pPr>
        <w:pStyle w:val="Heading2"/>
      </w:pPr>
      <w:r>
        <w:t xml:space="preserve">7. PREGUNTAS PARA ANA MARÍA</w:t>
      </w:r>
    </w:p>
    <w:p>
      <w:pPr>
        <w:pStyle w:val="Compact"/>
        <w:numPr>
          <w:ilvl w:val="0"/>
          <w:numId w:val="1002"/>
        </w:numPr>
      </w:pPr>
      <w:r>
        <w:t xml:space="preserve">¿El template de nota que tenemos es el más reciente firmado?</w:t>
      </w:r>
    </w:p>
    <w:p>
      <w:pPr>
        <w:pStyle w:val="Compact"/>
        <w:numPr>
          <w:ilvl w:val="0"/>
          <w:numId w:val="1002"/>
        </w:numPr>
      </w:pPr>
      <w:r>
        <w:t xml:space="preserve">¿Hay algún inversionista con términos diferentes (side letter, etc.)?</w:t>
      </w:r>
    </w:p>
    <w:p>
      <w:pPr>
        <w:pStyle w:val="Compact"/>
        <w:numPr>
          <w:ilvl w:val="0"/>
          <w:numId w:val="1002"/>
        </w:numPr>
      </w:pPr>
      <w:r>
        <w:t xml:space="preserve">¿Hay algún acuerdo de</w:t>
      </w:r>
      <w:r>
        <w:t xml:space="preserve"> </w:t>
      </w:r>
      <w:r>
        <w:t xml:space="preserve">“most favored nation”</w:t>
      </w:r>
      <w:r>
        <w:t xml:space="preserve"> </w:t>
      </w:r>
      <w:r>
        <w:t xml:space="preserve">que obligue a dar mismos términos?</w:t>
      </w:r>
    </w:p>
    <w:p>
      <w:pPr>
        <w:pStyle w:val="Compact"/>
        <w:numPr>
          <w:ilvl w:val="0"/>
          <w:numId w:val="1002"/>
        </w:numPr>
      </w:pPr>
      <w:r>
        <w:t xml:space="preserve">¿Prefiere preparar un</w:t>
      </w:r>
      <w:r>
        <w:t xml:space="preserve"> </w:t>
      </w:r>
      <w:r>
        <w:t xml:space="preserve">“Acknowledgment Letter”</w:t>
      </w:r>
      <w:r>
        <w:t xml:space="preserve"> </w:t>
      </w:r>
      <w:r>
        <w:t xml:space="preserve">formal o solo el email?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Análisis preparado como referencia para discusión con asesores legales.</w:t>
      </w:r>
      <w:r>
        <w:t xml:space="preserve"> </w:t>
      </w:r>
      <w:r>
        <w:rPr>
          <w:i/>
          <w:iCs/>
        </w:rPr>
        <w:t xml:space="preserve">No constituye asesoría legal formal.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2026-02-02T21:05:36Z</dcterms:created>
  <dcterms:modified xsi:type="dcterms:W3CDTF">2026-02-02T21:05:36Z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