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rta-de-notificación"/>
    <w:p>
      <w:pPr>
        <w:pStyle w:val="Heading1"/>
      </w:pPr>
      <w:r>
        <w:t xml:space="preserve">CARTA DE NOTIFICACIÓN</w:t>
      </w:r>
    </w:p>
    <w:bookmarkStart w:id="15" w:name="X9dba8568099b84e11225339c7e6d1032861ebe4"/>
    <w:p>
      <w:pPr>
        <w:pStyle w:val="Heading2"/>
      </w:pPr>
      <w:r>
        <w:t xml:space="preserve">Extensión de Serie de Acuerdos de Préstamo Convertible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[FECHA]</w:t>
      </w:r>
    </w:p>
    <w:p>
      <w:pPr>
        <w:pStyle w:val="BodyText"/>
      </w:pPr>
      <w:r>
        <w:rPr>
          <w:b/>
          <w:bCs/>
        </w:rPr>
        <w:t xml:space="preserve">De:</w:t>
      </w:r>
      <w:r>
        <w:t xml:space="preserve"> </w:t>
      </w:r>
      <w:r>
        <w:t xml:space="preserve">LIBERTARIO COFFEE ROASTERS CORP</w:t>
      </w:r>
      <w:r>
        <w:t xml:space="preserve"> </w:t>
      </w:r>
      <w:r>
        <w:t xml:space="preserve">PH ARIFA, Piso 10, West Boulevard</w:t>
      </w:r>
      <w:r>
        <w:t xml:space="preserve"> </w:t>
      </w:r>
      <w:r>
        <w:t xml:space="preserve">Santa Maria Business District</w:t>
      </w:r>
      <w:r>
        <w:t xml:space="preserve"> </w:t>
      </w:r>
      <w:r>
        <w:t xml:space="preserve">Panamá, República de Panamá</w:t>
      </w:r>
      <w:r>
        <w:t xml:space="preserve"> </w:t>
      </w:r>
      <w:r>
        <w:t xml:space="preserve">(la</w:t>
      </w:r>
      <w:r>
        <w:t xml:space="preserve"> </w:t>
      </w:r>
      <w:r>
        <w:t xml:space="preserve">“</w:t>
      </w:r>
      <w:r>
        <w:rPr>
          <w:b/>
          <w:bCs/>
        </w:rPr>
        <w:t xml:space="preserve">Compañía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Para:</w:t>
      </w:r>
      <w:r>
        <w:t xml:space="preserve"> </w:t>
      </w:r>
      <w:r>
        <w:t xml:space="preserve">Todos los Tenedores de Acuerdos de Préstamo Convertible</w:t>
      </w:r>
      <w:r>
        <w:t xml:space="preserve"> </w:t>
      </w:r>
      <w:r>
        <w:t xml:space="preserve">(colectivamente, los</w:t>
      </w:r>
      <w:r>
        <w:t xml:space="preserve"> </w:t>
      </w:r>
      <w:r>
        <w:t xml:space="preserve">“</w:t>
      </w:r>
      <w:r>
        <w:rPr>
          <w:b/>
          <w:bCs/>
        </w:rPr>
        <w:t xml:space="preserve">Inversionistas Existentes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Asunto: Notificación de Extensión de Ronda de Financiamiento de USD 5,000,000 a USD 5,500,000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Estimados Inversionistas,</w:t>
      </w:r>
    </w:p>
    <w:p>
      <w:pPr>
        <w:pStyle w:val="BodyText"/>
      </w:pPr>
      <w:r>
        <w:t xml:space="preserve">Se hace referencia a los Acuerdos de Préstamo Convertible (los</w:t>
      </w:r>
      <w:r>
        <w:t xml:space="preserve"> </w:t>
      </w:r>
      <w:r>
        <w:t xml:space="preserve">“</w:t>
      </w:r>
      <w:r>
        <w:rPr>
          <w:b/>
          <w:bCs/>
        </w:rPr>
        <w:t xml:space="preserve">CLAs</w:t>
      </w:r>
      <w:r>
        <w:t xml:space="preserve">”</w:t>
      </w:r>
      <w:r>
        <w:t xml:space="preserve"> </w:t>
      </w:r>
      <w:r>
        <w:t xml:space="preserve">por sus siglas en inglés) celebrados entre la Compañía y cada uno de ustedes durante 2025-2026, mediante los cuales han proporcionado préstamos convertibles a la Compañía en términos sustancialmente similares.</w:t>
      </w:r>
    </w:p>
    <w:bookmarkStart w:id="9" w:name="propósito-de-esta-carta"/>
    <w:p>
      <w:pPr>
        <w:pStyle w:val="Heading3"/>
      </w:pPr>
      <w:r>
        <w:t xml:space="preserve">1. PROPÓSITO DE ESTA CARTA</w:t>
      </w:r>
    </w:p>
    <w:p>
      <w:pPr>
        <w:pStyle w:val="FirstParagraph"/>
      </w:pPr>
      <w:r>
        <w:t xml:space="preserve">La Compañía por medio de la presente notifica que, de conformidad con el Considerando (B) de los CLAs, el cual expresamente contempla que:</w:t>
      </w:r>
    </w:p>
    <w:p>
      <w:pPr>
        <w:pStyle w:val="BlockText"/>
      </w:pPr>
      <w:r>
        <w:rPr>
          <w:i/>
          <w:iCs/>
        </w:rPr>
        <w:t xml:space="preserve">“Este Acuerdo es uno de una serie de acuerdos de préstamo convertible celebrados o por celebrarse por la Compañía con Inversionistas con términos similares y en la misma forma aquí establecida, excepto principalmente por los términos económicos y la fecha de emisión que pueden diferir.”</w:t>
      </w:r>
    </w:p>
    <w:p>
      <w:pPr>
        <w:pStyle w:val="FirstParagraph"/>
      </w:pPr>
      <w:r>
        <w:t xml:space="preserve">La Compañía tiene la intención de emitir Acuerdos de Préstamo Convertible adicionales a nuevos inversionistas por un monto agregado de hasta</w:t>
      </w:r>
      <w:r>
        <w:t xml:space="preserve"> </w:t>
      </w:r>
      <w:r>
        <w:rPr>
          <w:b/>
          <w:bCs/>
        </w:rPr>
        <w:t xml:space="preserve">USD 500,000</w:t>
      </w:r>
      <w:r>
        <w:t xml:space="preserve"> </w:t>
      </w:r>
      <w:r>
        <w:t xml:space="preserve">(quinientos mil dólares estadounidenses), incrementando así la Ronda de Financiamiento total de USD 5,000,000 a USD 5,500,000.</w:t>
      </w:r>
    </w:p>
    <w:bookmarkEnd w:id="9"/>
    <w:bookmarkStart w:id="10" w:name="términos-de-las-notas-adicionales"/>
    <w:p>
      <w:pPr>
        <w:pStyle w:val="Heading3"/>
      </w:pPr>
      <w:r>
        <w:t xml:space="preserve">2. TÉRMINOS DE LAS NOTAS ADICIONALES</w:t>
      </w:r>
    </w:p>
    <w:p>
      <w:pPr>
        <w:pStyle w:val="FirstParagraph"/>
      </w:pPr>
      <w:r>
        <w:t xml:space="preserve">Los CLAs adicionales serán emitidos en términos sustancialmente iguales a los de sus CLAs existentes: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Valuation Cap</w:t>
            </w:r>
          </w:p>
        </w:tc>
        <w:tc>
          <w:tcPr/>
          <w:p>
            <w:pPr>
              <w:pStyle w:val="Compact"/>
            </w:pPr>
            <w:r>
              <w:t xml:space="preserve">USD 40,000,000 (pre-money)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Descuento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Interés</w:t>
            </w:r>
          </w:p>
        </w:tc>
        <w:tc>
          <w:tcPr/>
          <w:p>
            <w:pPr>
              <w:pStyle w:val="Compact"/>
            </w:pPr>
            <w:r>
              <w:t xml:space="preserve">6%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Vencimiento</w:t>
            </w:r>
          </w:p>
        </w:tc>
        <w:tc>
          <w:tcPr/>
          <w:p>
            <w:pPr>
              <w:pStyle w:val="Compact"/>
            </w:pPr>
            <w:r>
              <w:t xml:space="preserve">2 años desde emisión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Umbral de Financiamiento Calificado</w:t>
            </w:r>
          </w:p>
        </w:tc>
        <w:tc>
          <w:tcPr/>
          <w:p>
            <w:pPr>
              <w:pStyle w:val="Compact"/>
            </w:pPr>
            <w:r>
              <w:t xml:space="preserve">USD 5,000,000</w:t>
            </w:r>
          </w:p>
        </w:tc>
      </w:tr>
    </w:tbl>
    <w:bookmarkEnd w:id="10"/>
    <w:bookmarkStart w:id="11" w:name="efecto-para-inversionistas-existentes"/>
    <w:p>
      <w:pPr>
        <w:pStyle w:val="Heading3"/>
      </w:pPr>
      <w:r>
        <w:t xml:space="preserve">3. EFECTO PARA INVERSIONISTAS EXISTENTES</w:t>
      </w:r>
    </w:p>
    <w:p>
      <w:pPr>
        <w:pStyle w:val="FirstParagraph"/>
      </w:pPr>
      <w:r>
        <w:t xml:space="preserve">La emisión de CLAs adicionales bajo el mismo Valuation Cap resultará en un ajuste proporcional a la mecánica de conversión para todos los tenedores de CLAs, incluyendo inversionistas existentes.</w:t>
      </w:r>
    </w:p>
    <w:p>
      <w:pPr>
        <w:pStyle w:val="BodyText"/>
      </w:pPr>
      <w:r>
        <w:rPr>
          <w:b/>
          <w:bCs/>
        </w:rPr>
        <w:t xml:space="preserve">Impacto Ilustrativo: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574"/>
        <w:gridCol w:w="2772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 Inversión</w:t>
            </w:r>
          </w:p>
        </w:tc>
        <w:tc>
          <w:tcPr/>
          <w:p>
            <w:pPr>
              <w:pStyle w:val="Compact"/>
            </w:pPr>
            <w:r>
              <w:t xml:space="preserve">% Conversión (ronda $5M)</w:t>
            </w:r>
          </w:p>
        </w:tc>
        <w:tc>
          <w:tcPr/>
          <w:p>
            <w:pPr>
              <w:pStyle w:val="Compact"/>
            </w:pPr>
            <w:r>
              <w:t xml:space="preserve">% Conversión (ronda $5.5M)</w:t>
            </w:r>
          </w:p>
        </w:tc>
        <w:tc>
          <w:tcPr/>
          <w:p>
            <w:pPr>
              <w:pStyle w:val="Compact"/>
            </w:pPr>
            <w:r>
              <w:t xml:space="preserve">Diferencia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 100,000</w:t>
            </w:r>
          </w:p>
        </w:tc>
        <w:tc>
          <w:tcPr/>
          <w:p>
            <w:pPr>
              <w:pStyle w:val="Compact"/>
            </w:pPr>
            <w:r>
              <w:t xml:space="preserve">0.270%</w:t>
            </w:r>
          </w:p>
        </w:tc>
        <w:tc>
          <w:tcPr/>
          <w:p>
            <w:pPr>
              <w:pStyle w:val="Compact"/>
            </w:pPr>
            <w:r>
              <w:t xml:space="preserve">0.267%</w:t>
            </w:r>
          </w:p>
        </w:tc>
        <w:tc>
          <w:tcPr/>
          <w:p>
            <w:pPr>
              <w:pStyle w:val="Compact"/>
            </w:pPr>
            <w:r>
              <w:t xml:space="preserve">-0.003pp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 250,000</w:t>
            </w:r>
          </w:p>
        </w:tc>
        <w:tc>
          <w:tcPr/>
          <w:p>
            <w:pPr>
              <w:pStyle w:val="Compact"/>
            </w:pPr>
            <w:r>
              <w:t xml:space="preserve">0.676%</w:t>
            </w:r>
          </w:p>
        </w:tc>
        <w:tc>
          <w:tcPr/>
          <w:p>
            <w:pPr>
              <w:pStyle w:val="Compact"/>
            </w:pPr>
            <w:r>
              <w:t xml:space="preserve">0.667%</w:t>
            </w:r>
          </w:p>
        </w:tc>
        <w:tc>
          <w:tcPr/>
          <w:p>
            <w:pPr>
              <w:pStyle w:val="Compact"/>
            </w:pPr>
            <w:r>
              <w:t xml:space="preserve">-0.009pp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 500,000</w:t>
            </w:r>
          </w:p>
        </w:tc>
        <w:tc>
          <w:tcPr/>
          <w:p>
            <w:pPr>
              <w:pStyle w:val="Compact"/>
            </w:pPr>
            <w:r>
              <w:t xml:space="preserve">1.351%</w:t>
            </w:r>
          </w:p>
        </w:tc>
        <w:tc>
          <w:tcPr/>
          <w:p>
            <w:pPr>
              <w:pStyle w:val="Compact"/>
            </w:pPr>
            <w:r>
              <w:t xml:space="preserve">1.333%</w:t>
            </w:r>
          </w:p>
        </w:tc>
        <w:tc>
          <w:tcPr/>
          <w:p>
            <w:pPr>
              <w:pStyle w:val="Compact"/>
            </w:pPr>
            <w:r>
              <w:t xml:space="preserve">-0.018pp</w:t>
            </w:r>
          </w:p>
        </w:tc>
      </w:tr>
    </w:tbl>
    <w:p>
      <w:pPr>
        <w:pStyle w:val="BodyText"/>
      </w:pPr>
      <w:r>
        <w:t xml:space="preserve">Esto representa una</w:t>
      </w:r>
      <w:r>
        <w:t xml:space="preserve"> </w:t>
      </w:r>
      <w:r>
        <w:rPr>
          <w:b/>
          <w:bCs/>
        </w:rPr>
        <w:t xml:space="preserve">dilución relativa aproximada del 1.3%</w:t>
      </w:r>
      <w:r>
        <w:t xml:space="preserve"> </w:t>
      </w:r>
      <w:r>
        <w:t xml:space="preserve">de su posición original.</w:t>
      </w:r>
    </w:p>
    <w:bookmarkEnd w:id="11"/>
    <w:bookmarkStart w:id="12" w:name="justificación-de-la-extensión"/>
    <w:p>
      <w:pPr>
        <w:pStyle w:val="Heading3"/>
      </w:pPr>
      <w:r>
        <w:t xml:space="preserve">4. JUSTIFICACIÓN DE LA EXTENSIÓN</w:t>
      </w:r>
    </w:p>
    <w:p>
      <w:pPr>
        <w:pStyle w:val="FirstParagraph"/>
      </w:pPr>
      <w:r>
        <w:t xml:space="preserve">La Compañía ha determinado que el capital adicional es necesario y beneficioso por las siguientes razones:</w:t>
      </w:r>
    </w:p>
    <w:p>
      <w:pPr>
        <w:pStyle w:val="BodyText"/>
      </w:pPr>
      <w:r>
        <w:rPr>
          <w:b/>
          <w:bCs/>
        </w:rPr>
        <w:t xml:space="preserve">Resultados 2025:</w:t>
      </w:r>
      <w:r>
        <w:t xml:space="preserve"> </w:t>
      </w:r>
      <w:r>
        <w:t xml:space="preserve">- Ventas de $7.22M superaron el presupuesto (101% de cumplimiento)</w:t>
      </w:r>
      <w:r>
        <w:t xml:space="preserve"> </w:t>
      </w:r>
      <w:r>
        <w:t xml:space="preserve">- Margen bruto de 66% supera proyecciones</w:t>
      </w:r>
      <w:r>
        <w:t xml:space="preserve"> </w:t>
      </w:r>
      <w:r>
        <w:t xml:space="preserve">- Modelo validado: tiendas alcanzando break-even en mes 1</w:t>
      </w:r>
    </w:p>
    <w:p>
      <w:pPr>
        <w:pStyle w:val="BodyText"/>
      </w:pPr>
      <w:r>
        <w:rPr>
          <w:b/>
          <w:bCs/>
        </w:rPr>
        <w:t xml:space="preserve">Oportunidades 2026:</w:t>
      </w:r>
      <w:r>
        <w:t xml:space="preserve"> </w:t>
      </w:r>
      <w:r>
        <w:t xml:space="preserve">- [COMPLETAR: Oportunidades específicas de expansión]</w:t>
      </w:r>
      <w:r>
        <w:t xml:space="preserve"> </w:t>
      </w:r>
      <w:r>
        <w:t xml:space="preserve">- [COMPLETAR: Aperturas de tiendas aceleradas]</w:t>
      </w:r>
      <w:r>
        <w:t xml:space="preserve"> </w:t>
      </w:r>
      <w:r>
        <w:t xml:space="preserve">- [COMPLETAR: Optimización de capital de trabajo]</w:t>
      </w:r>
    </w:p>
    <w:p>
      <w:pPr>
        <w:pStyle w:val="BodyText"/>
      </w:pPr>
      <w:r>
        <w:t xml:space="preserve">El financiamiento adicional fortalece la posición de la Compañía para el anticipado financiamiento Serie A y mejora el valor para todos los grupos de interés.</w:t>
      </w:r>
    </w:p>
    <w:bookmarkEnd w:id="12"/>
    <w:bookmarkStart w:id="13" w:name="no-se-requiere-acción"/>
    <w:p>
      <w:pPr>
        <w:pStyle w:val="Heading3"/>
      </w:pPr>
      <w:r>
        <w:t xml:space="preserve">5. NO SE REQUIERE ACCIÓN</w:t>
      </w:r>
    </w:p>
    <w:p>
      <w:pPr>
        <w:pStyle w:val="FirstParagraph"/>
      </w:pPr>
      <w:r>
        <w:rPr>
          <w:b/>
          <w:bCs/>
        </w:rPr>
        <w:t xml:space="preserve">Esta carta es solo para fines informativos.</w:t>
      </w:r>
      <w:r>
        <w:t xml:space="preserve"> </w:t>
      </w:r>
      <w:r>
        <w:t xml:space="preserve">No se requiere ninguna acción o consentimiento de su parte. Los términos de su CLA existente permanecen sin cambios y son completamente ejecutables.</w:t>
      </w:r>
    </w:p>
    <w:p>
      <w:pPr>
        <w:pStyle w:val="BodyText"/>
      </w:pPr>
      <w:r>
        <w:t xml:space="preserve">La Compañía proporciona esta notificación como una cuestión de transparencia y buen gobierno corporativo, consistente con su compromiso de mantener comunicación abierta con sus inversionistas.</w:t>
      </w:r>
    </w:p>
    <w:bookmarkEnd w:id="13"/>
    <w:bookmarkStart w:id="14" w:name="información-de-contacto"/>
    <w:p>
      <w:pPr>
        <w:pStyle w:val="Heading3"/>
      </w:pPr>
      <w:r>
        <w:t xml:space="preserve">6. INFORMACIÓN DE CONTACTO</w:t>
      </w:r>
    </w:p>
    <w:p>
      <w:pPr>
        <w:pStyle w:val="FirstParagraph"/>
      </w:pPr>
      <w:r>
        <w:t xml:space="preserve">Si tiene alguna pregunta respecto a esta extensión, por favor contacte a:</w:t>
      </w:r>
    </w:p>
    <w:p>
      <w:pPr>
        <w:pStyle w:val="BodyText"/>
      </w:pPr>
      <w:r>
        <w:rPr>
          <w:b/>
          <w:bCs/>
        </w:rPr>
        <w:t xml:space="preserve">Felipe Sardi</w:t>
      </w:r>
      <w:r>
        <w:t xml:space="preserve"> </w:t>
      </w:r>
      <w:r>
        <w:t xml:space="preserve">CEO, Libertario Coffee Roasters Corp</w:t>
      </w:r>
      <w:r>
        <w:t xml:space="preserve"> </w:t>
      </w:r>
      <w:r>
        <w:t xml:space="preserve">Email: [EMAIL]</w:t>
      </w:r>
      <w:r>
        <w:t xml:space="preserve"> </w:t>
      </w:r>
      <w:r>
        <w:t xml:space="preserve">Teléfono: [TELÉFONO]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Agradecemos profundamente su continuo apoyo y confianza en Libertario.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rPr>
          <w:b/>
          <w:bCs/>
        </w:rPr>
        <w:t xml:space="preserve">LIBERTARIO COFFEE ROASTERS CORP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Por: Felipe Sardi</w:t>
      </w:r>
      <w:r>
        <w:t xml:space="preserve"> </w:t>
      </w:r>
      <w:r>
        <w:t xml:space="preserve">Cargo: Director / CEO</w:t>
      </w:r>
      <w:r>
        <w:t xml:space="preserve"> </w:t>
      </w:r>
      <w:r>
        <w:t xml:space="preserve">Fecha: 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nexo-a"/>
    <w:p>
      <w:pPr>
        <w:pStyle w:val="Heading2"/>
      </w:pPr>
      <w:r>
        <w:t xml:space="preserve">ANEXO A</w:t>
      </w:r>
    </w:p>
    <w:bookmarkEnd w:id="16"/>
    <w:bookmarkStart w:id="17" w:name="Xd5037ea3fd37f5245097fb4eb706513bfbb7154"/>
    <w:p>
      <w:pPr>
        <w:pStyle w:val="Heading2"/>
      </w:pPr>
      <w:r>
        <w:t xml:space="preserve">Lista de Tenedores de Acuerdos de Préstamo Convertible Existentes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Nombre del Inversionista</w:t>
            </w:r>
          </w:p>
        </w:tc>
        <w:tc>
          <w:tcPr/>
          <w:p>
            <w:pPr>
              <w:pStyle w:val="Compact"/>
            </w:pPr>
            <w:r>
              <w:t xml:space="preserve">Fecha del CLA</w:t>
            </w:r>
          </w:p>
        </w:tc>
        <w:tc>
          <w:tcPr/>
          <w:p>
            <w:pPr>
              <w:pStyle w:val="Compact"/>
            </w:pPr>
            <w:r>
              <w:t xml:space="preserve">Monto Principal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[FECHA]</w:t>
            </w:r>
          </w:p>
        </w:tc>
        <w:tc>
          <w:tcPr/>
          <w:p>
            <w:pPr>
              <w:pStyle w:val="Compact"/>
            </w:pPr>
            <w:r>
              <w:t xml:space="preserve">[MONTO]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[FECHA]</w:t>
            </w:r>
          </w:p>
        </w:tc>
        <w:tc>
          <w:tcPr/>
          <w:p>
            <w:pPr>
              <w:pStyle w:val="Compact"/>
            </w:pPr>
            <w:r>
              <w:t xml:space="preserve">[MONTO]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[FECHA]</w:t>
            </w:r>
          </w:p>
        </w:tc>
        <w:tc>
          <w:tcPr/>
          <w:p>
            <w:pPr>
              <w:pStyle w:val="Compact"/>
            </w:pPr>
            <w:r>
              <w:t xml:space="preserve">[MONTO]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[FECHA]</w:t>
            </w:r>
          </w:p>
        </w:tc>
        <w:tc>
          <w:tcPr/>
          <w:p>
            <w:pPr>
              <w:pStyle w:val="Compact"/>
            </w:pPr>
            <w:r>
              <w:t xml:space="preserve">[MONTO]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$5,000,000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nexo-b"/>
    <w:p>
      <w:pPr>
        <w:pStyle w:val="Heading2"/>
      </w:pPr>
      <w:r>
        <w:t xml:space="preserve">ANEXO B</w:t>
      </w:r>
    </w:p>
    <w:bookmarkEnd w:id="18"/>
    <w:bookmarkStart w:id="19" w:name="Xcbcb548f8c475a7d9e5f059d14addf2ccdefeae"/>
    <w:p>
      <w:pPr>
        <w:pStyle w:val="Heading2"/>
      </w:pPr>
      <w:r>
        <w:t xml:space="preserve">Nuevos Tenedores de Acuerdos de Préstamo Convertible (Extensión)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Nombre del Inversionista</w:t>
            </w:r>
          </w:p>
        </w:tc>
        <w:tc>
          <w:tcPr/>
          <w:p>
            <w:pPr>
              <w:pStyle w:val="Compact"/>
            </w:pPr>
            <w:r>
              <w:t xml:space="preserve">Fecha del CLA</w:t>
            </w:r>
          </w:p>
        </w:tc>
        <w:tc>
          <w:tcPr/>
          <w:p>
            <w:pPr>
              <w:pStyle w:val="Compact"/>
            </w:pPr>
            <w:r>
              <w:t xml:space="preserve">Monto Principal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[FECHA]</w:t>
            </w:r>
          </w:p>
        </w:tc>
        <w:tc>
          <w:tcPr/>
          <w:p>
            <w:pPr>
              <w:pStyle w:val="Compact"/>
            </w:pPr>
            <w:r>
              <w:t xml:space="preserve">[MONTO]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EXTENSIÓN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$5,500,000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Esta Carta de Notificación se rige por las leyes de la República de Panamá, consistente con la disposición de ley aplicable de los Acuerdos de Préstamo Convertible subyacentes.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2026-02-02T21:05:36Z</dcterms:created>
  <dcterms:modified xsi:type="dcterms:W3CDTF">2026-02-02T21:05:36Z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