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nálisis-de-gobernanza-corporativa"/>
    <w:p>
      <w:pPr>
        <w:pStyle w:val="Heading1"/>
      </w:pPr>
      <w:r>
        <w:t xml:space="preserve">ANÁLISIS DE GOBERNANZA CORPORATIVA</w:t>
      </w:r>
    </w:p>
    <w:bookmarkStart w:id="9" w:name="memo-interno---preparación-serie-a"/>
    <w:p>
      <w:pPr>
        <w:pStyle w:val="Heading2"/>
      </w:pPr>
      <w:r>
        <w:t xml:space="preserve">Memo Interno - Preparación Serie A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2026-02-02</w:t>
      </w:r>
      <w:r>
        <w:t xml:space="preserve"> </w:t>
      </w:r>
      <w:r>
        <w:rPr>
          <w:b/>
          <w:bCs/>
        </w:rPr>
        <w:t xml:space="preserve">Para:</w:t>
      </w:r>
      <w:r>
        <w:t xml:space="preserve"> </w:t>
      </w:r>
      <w:r>
        <w:t xml:space="preserve">Ana María Peláez (Asesora Legal)</w:t>
      </w:r>
      <w:r>
        <w:t xml:space="preserve"> </w:t>
      </w:r>
      <w:r>
        <w:rPr>
          <w:b/>
          <w:bCs/>
        </w:rPr>
        <w:t xml:space="preserve">De:</w:t>
      </w:r>
      <w:r>
        <w:t xml:space="preserve"> </w:t>
      </w:r>
      <w:r>
        <w:t xml:space="preserve">Felipe Sardi</w:t>
      </w:r>
      <w:r>
        <w:t xml:space="preserve"> </w:t>
      </w:r>
      <w:r>
        <w:rPr>
          <w:b/>
          <w:bCs/>
        </w:rPr>
        <w:t xml:space="preserve">Asunto:</w:t>
      </w:r>
      <w:r>
        <w:t xml:space="preserve"> </w:t>
      </w:r>
      <w:r>
        <w:t xml:space="preserve">Revisión de SHA y recomendaciones para fortalecer estructura pre-Serie A</w:t>
      </w:r>
      <w:r>
        <w:t xml:space="preserve"> </w:t>
      </w:r>
      <w:r>
        <w:rPr>
          <w:b/>
          <w:bCs/>
        </w:rPr>
        <w:t xml:space="preserve">Confidencial:</w:t>
      </w:r>
      <w:r>
        <w:t xml:space="preserve"> </w:t>
      </w:r>
      <w:r>
        <w:t xml:space="preserve">Solo para uso interno</w:t>
      </w:r>
    </w:p>
    <w:p>
      <w:r>
        <w:pict>
          <v:rect style="width:0;height:1.5pt" o:hralign="center" o:hrstd="t" o:hr="t"/>
        </w:pict>
      </w:r>
    </w:p>
    <w:bookmarkEnd w:id="9"/>
    <w:bookmarkStart w:id="10" w:name="propósito-de-este-documento"/>
    <w:p>
      <w:pPr>
        <w:pStyle w:val="Heading2"/>
      </w:pPr>
      <w:r>
        <w:t xml:space="preserve">1. PROPÓSITO DE ESTE DOCUMENTO</w:t>
      </w:r>
    </w:p>
    <w:p>
      <w:pPr>
        <w:pStyle w:val="FirstParagraph"/>
      </w:pPr>
      <w:r>
        <w:t xml:space="preserve">Este análisis tiene dos objetivos: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Responder preguntas de inversionistas</w:t>
      </w:r>
      <w:r>
        <w:t xml:space="preserve"> </w:t>
      </w:r>
      <w:r>
        <w:t xml:space="preserve">sobre gobernanza corporativa de manera clara y profesional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Identificar oportunidades de mejora</w:t>
      </w:r>
      <w:r>
        <w:t xml:space="preserve"> </w:t>
      </w:r>
      <w:r>
        <w:t xml:space="preserve">para robustecer la estructura legal antes de la Serie A</w:t>
      </w:r>
    </w:p>
    <w:p>
      <w:pPr>
        <w:pStyle w:val="FirstParagraph"/>
      </w:pPr>
      <w:r>
        <w:rPr>
          <w:b/>
          <w:bCs/>
        </w:rPr>
        <w:t xml:space="preserve">Enfoque:</w:t>
      </w:r>
      <w:r>
        <w:t xml:space="preserve"> </w:t>
      </w:r>
      <w:r>
        <w:t xml:space="preserve">Pragmático y comercialmente consciente. Los socios locales son aliados estratégicos que operan el negocio - cualquier ajuste debe preservar esas relaciones.</w:t>
      </w:r>
    </w:p>
    <w:p>
      <w:r>
        <w:pict>
          <v:rect style="width:0;height:1.5pt" o:hralign="center" o:hrstd="t" o:hr="t"/>
        </w:pict>
      </w:r>
    </w:p>
    <w:bookmarkEnd w:id="10"/>
    <w:bookmarkStart w:id="12" w:name="estructura-actual-de-control"/>
    <w:p>
      <w:pPr>
        <w:pStyle w:val="Heading2"/>
      </w:pPr>
      <w:r>
        <w:t xml:space="preserve">2. ESTRUCTURA ACTUAL DE CONTROL</w:t>
      </w:r>
    </w:p>
    <w:p>
      <w:pPr>
        <w:pStyle w:val="SourceCode"/>
      </w:pPr>
      <w:r>
        <w:rPr>
          <w:rStyle w:val="VerbatimChar"/>
        </w:rPr>
        <w:t xml:space="preserve">LIBERTARIO HOLDING (Panamá)</w:t>
      </w:r>
      <w:r>
        <w:br/>
      </w:r>
      <w:r>
        <w:rPr>
          <w:rStyle w:val="VerbatimChar"/>
        </w:rPr>
        <w:t xml:space="preserve">    └── LCR CORP (Panamá) - HOLDING OPERATIVO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 USA (100%) ────────── Subsidiaria 100%</w:t>
      </w:r>
      <w:r>
        <w:br/>
      </w:r>
      <w:r>
        <w:rPr>
          <w:rStyle w:val="VerbatimChar"/>
        </w:rPr>
        <w:t xml:space="preserve">            ├── Colombia (100%) ───── Subsidiaria 100%</w:t>
      </w:r>
      <w:r>
        <w:br/>
      </w:r>
      <w:r>
        <w:rPr>
          <w:rStyle w:val="VerbatimChar"/>
        </w:rPr>
        <w:t xml:space="preserve">            ├── México (75%) ──────── JV con Masanamacaya (25%)</w:t>
      </w:r>
      <w:r>
        <w:br/>
      </w:r>
      <w:r>
        <w:rPr>
          <w:rStyle w:val="VerbatimChar"/>
        </w:rPr>
        <w:t xml:space="preserve">            ├── Chile (92.5%) ─────── JV con socios locales (7.5%)</w:t>
      </w:r>
      <w:r>
        <w:br/>
      </w:r>
      <w:r>
        <w:rPr>
          <w:rStyle w:val="VerbatimChar"/>
        </w:rPr>
        <w:t xml:space="preserve">            ├── Costa Rica (74%) ──── JV con Oshala (26%)</w:t>
      </w:r>
      <w:r>
        <w:br/>
      </w:r>
      <w:r>
        <w:rPr>
          <w:rStyle w:val="VerbatimChar"/>
        </w:rPr>
        <w:t xml:space="preserve">            └── India (55%) ───────── JV con Miguel Villaquirán (45%)</w:t>
      </w:r>
    </w:p>
    <w:bookmarkStart w:id="11" w:name="resumen-de-gobernanza-por-país"/>
    <w:p>
      <w:pPr>
        <w:pStyle w:val="Heading3"/>
      </w:pPr>
      <w:r>
        <w:t xml:space="preserve">Resumen de Gobernanza por País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894"/>
        <w:gridCol w:w="2427"/>
        <w:gridCol w:w="1405"/>
        <w:gridCol w:w="24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País</w:t>
            </w:r>
          </w:p>
        </w:tc>
        <w:tc>
          <w:tcPr/>
          <w:p>
            <w:pPr>
              <w:pStyle w:val="Compact"/>
            </w:pPr>
            <w:r>
              <w:t xml:space="preserve">% LCR</w:t>
            </w:r>
          </w:p>
        </w:tc>
        <w:tc>
          <w:tcPr/>
          <w:p>
            <w:pPr>
              <w:pStyle w:val="Compact"/>
            </w:pPr>
            <w:r>
              <w:t xml:space="preserve">Mayoría Calificada</w:t>
            </w:r>
          </w:p>
        </w:tc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Contexto Comercial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Control total</w:t>
            </w:r>
          </w:p>
        </w:tc>
        <w:tc>
          <w:tcPr/>
          <w:p>
            <w:pPr>
              <w:pStyle w:val="Compact"/>
            </w:pPr>
            <w:r>
              <w:t xml:space="preserve">Subsidiaria directa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Colombia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&gt;50%</w:t>
            </w:r>
          </w:p>
        </w:tc>
        <w:tc>
          <w:tcPr/>
          <w:p>
            <w:pPr>
              <w:pStyle w:val="Compact"/>
            </w:pPr>
            <w:r>
              <w:t xml:space="preserve">Control total</w:t>
            </w:r>
          </w:p>
        </w:tc>
        <w:tc>
          <w:tcPr/>
          <w:p>
            <w:pPr>
              <w:pStyle w:val="Compact"/>
            </w:pPr>
            <w:r>
              <w:t xml:space="preserve">Subsidiaria directa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Chile</w:t>
            </w:r>
          </w:p>
        </w:tc>
        <w:tc>
          <w:tcPr/>
          <w:p>
            <w:pPr>
              <w:pStyle w:val="Compact"/>
            </w:pPr>
            <w:r>
              <w:t xml:space="preserve">92.5%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  <w:tc>
          <w:tcPr/>
          <w:p>
            <w:pPr>
              <w:pStyle w:val="Compact"/>
            </w:pPr>
            <w:r>
              <w:t xml:space="preserve">Control operativo</w:t>
            </w:r>
          </w:p>
        </w:tc>
        <w:tc>
          <w:tcPr/>
          <w:p>
            <w:pPr>
              <w:pStyle w:val="Compact"/>
            </w:pPr>
            <w:r>
              <w:t xml:space="preserve">Socios con vesting, lock-up hasta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 Rica</w:t>
            </w:r>
          </w:p>
        </w:tc>
        <w:tc>
          <w:tcPr/>
          <w:p>
            <w:pPr>
              <w:pStyle w:val="Compact"/>
            </w:pPr>
            <w:r>
              <w:t xml:space="preserve">74%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Control operativo</w:t>
            </w:r>
          </w:p>
        </w:tc>
        <w:tc>
          <w:tcPr/>
          <w:p>
            <w:pPr>
              <w:pStyle w:val="Compact"/>
            </w:pPr>
            <w:r>
              <w:t xml:space="preserve">Relación estable con Oshala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México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Co-decisión requerida</w:t>
            </w:r>
          </w:p>
        </w:tc>
        <w:tc>
          <w:tcPr/>
          <w:p>
            <w:pPr>
              <w:pStyle w:val="Compact"/>
            </w:pPr>
            <w:r>
              <w:t xml:space="preserve">Masanamacaya es socio franquiciador valioso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Co-decisión requerida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Miguel es socio operador clave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contexto-comercial-importante"/>
    <w:p>
      <w:pPr>
        <w:pStyle w:val="Heading2"/>
      </w:pPr>
      <w:r>
        <w:t xml:space="preserve">3. CONTEXTO COMERCIAL IMPORTANTE</w:t>
      </w:r>
    </w:p>
    <w:bookmarkStart w:id="13" w:name="india---consideración-especial"/>
    <w:p>
      <w:pPr>
        <w:pStyle w:val="Heading3"/>
      </w:pPr>
      <w:r>
        <w:t xml:space="preserve">India - Consideración Especial</w:t>
      </w:r>
    </w:p>
    <w:p>
      <w:pPr>
        <w:pStyle w:val="FirstParagraph"/>
      </w:pPr>
      <w:r>
        <w:rPr>
          <w:b/>
          <w:bCs/>
        </w:rPr>
        <w:t xml:space="preserve">Miguel Villaquirán y su equipo:</w:t>
      </w:r>
      <w:r>
        <w:t xml:space="preserve"> </w:t>
      </w:r>
      <w:r>
        <w:t xml:space="preserve">- Son los operadores del día a día en India</w:t>
      </w:r>
      <w:r>
        <w:t xml:space="preserve"> </w:t>
      </w:r>
      <w:r>
        <w:t xml:space="preserve">- Conocen el mercado local profundamente</w:t>
      </w:r>
      <w:r>
        <w:t xml:space="preserve"> </w:t>
      </w:r>
      <w:r>
        <w:t xml:space="preserve">- Tienen skin in the game significativo (45%)</w:t>
      </w:r>
      <w:r>
        <w:t xml:space="preserve"> </w:t>
      </w:r>
      <w:r>
        <w:t xml:space="preserve">- El modelo de negocio depende de su ejecución</w:t>
      </w:r>
    </w:p>
    <w:p>
      <w:pPr>
        <w:pStyle w:val="BodyText"/>
      </w:pPr>
      <w:r>
        <w:rPr>
          <w:b/>
          <w:bCs/>
        </w:rPr>
        <w:t xml:space="preserve">Implicación:</w:t>
      </w:r>
      <w:r>
        <w:t xml:space="preserve"> </w:t>
      </w:r>
      <w:r>
        <w:t xml:space="preserve">Es</w:t>
      </w:r>
      <w:r>
        <w:t xml:space="preserve"> </w:t>
      </w:r>
      <w:r>
        <w:rPr>
          <w:i/>
          <w:iCs/>
        </w:rPr>
        <w:t xml:space="preserve">natural y deseable</w:t>
      </w:r>
      <w:r>
        <w:t xml:space="preserve"> </w:t>
      </w:r>
      <w:r>
        <w:t xml:space="preserve">que tengan voz en decisiones importantes. El SHA actual refleja una sociedad genuina, no un</w:t>
      </w:r>
      <w:r>
        <w:t xml:space="preserve"> </w:t>
      </w:r>
      <w:r>
        <w:t xml:space="preserve">“problema de control”</w:t>
      </w:r>
      <w:r>
        <w:t xml:space="preserve"> </w:t>
      </w:r>
      <w:r>
        <w:t xml:space="preserve">que deba</w:t>
      </w:r>
      <w:r>
        <w:t xml:space="preserve"> </w:t>
      </w:r>
      <w:r>
        <w:t xml:space="preserve">“solucionarse”</w:t>
      </w:r>
      <w:r>
        <w:t xml:space="preserve">. Los inversionistas sofisticados entenderán esto.</w:t>
      </w:r>
    </w:p>
    <w:p>
      <w:pPr>
        <w:pStyle w:val="BodyText"/>
      </w:pPr>
      <w:r>
        <w:rPr>
          <w:b/>
          <w:bCs/>
        </w:rPr>
        <w:t xml:space="preserve">Recomendación para Ana María:</w:t>
      </w:r>
      <w:r>
        <w:t xml:space="preserve"> </w:t>
      </w:r>
      <w:r>
        <w:t xml:space="preserve">- NO presentar India como</w:t>
      </w:r>
      <w:r>
        <w:t xml:space="preserve"> </w:t>
      </w:r>
      <w:r>
        <w:t xml:space="preserve">“riesgo”</w:t>
      </w:r>
      <w:r>
        <w:t xml:space="preserve"> </w:t>
      </w:r>
      <w:r>
        <w:t xml:space="preserve">a inversionistas</w:t>
      </w:r>
      <w:r>
        <w:t xml:space="preserve"> </w:t>
      </w:r>
      <w:r>
        <w:t xml:space="preserve">- Presentar como</w:t>
      </w:r>
      <w:r>
        <w:t xml:space="preserve"> </w:t>
      </w:r>
      <w:r>
        <w:t xml:space="preserve">“partnership estratégico con operadores locales”</w:t>
      </w:r>
      <w:r>
        <w:t xml:space="preserve"> </w:t>
      </w:r>
      <w:r>
        <w:t xml:space="preserve">- El lock-up de 5 años y el floor de $20M en drag-along demuestran alineación de largo plazo</w:t>
      </w:r>
    </w:p>
    <w:bookmarkEnd w:id="13"/>
    <w:bookmarkStart w:id="14" w:name="méxico---contexto"/>
    <w:p>
      <w:pPr>
        <w:pStyle w:val="Heading3"/>
      </w:pPr>
      <w:r>
        <w:t xml:space="preserve">México - Contexto</w:t>
      </w:r>
    </w:p>
    <w:p>
      <w:pPr>
        <w:pStyle w:val="FirstParagraph"/>
      </w:pPr>
      <w:r>
        <w:rPr>
          <w:b/>
          <w:bCs/>
        </w:rPr>
        <w:t xml:space="preserve">Masanamacaya:</w:t>
      </w:r>
      <w:r>
        <w:t xml:space="preserve"> </w:t>
      </w:r>
      <w:r>
        <w:t xml:space="preserve">- Socio de largo plazo con experiencia en franquicias</w:t>
      </w:r>
      <w:r>
        <w:t xml:space="preserve"> </w:t>
      </w:r>
      <w:r>
        <w:t xml:space="preserve">- 1% de diferencia (75% vs 76% requerido) es técnico, no práctico</w:t>
      </w:r>
      <w:r>
        <w:t xml:space="preserve"> </w:t>
      </w:r>
      <w:r>
        <w:t xml:space="preserve">- Históricamente ha habido alineación en decisiones</w:t>
      </w:r>
    </w:p>
    <w:p>
      <w:pPr>
        <w:pStyle w:val="BodyText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Ajuste menor al SHA sería ideal pero no urgente.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respuestas-para-inversionistas"/>
    <w:p>
      <w:pPr>
        <w:pStyle w:val="Heading2"/>
      </w:pPr>
      <w:r>
        <w:t xml:space="preserve">4. RESPUESTAS PARA INVERSIONISTAS</w:t>
      </w:r>
    </w:p>
    <w:bookmarkStart w:id="16" w:name="X1ce03d52835fafad347e7f67d43aadbb09cb3ed"/>
    <w:p>
      <w:pPr>
        <w:pStyle w:val="Heading3"/>
      </w:pPr>
      <w:r>
        <w:t xml:space="preserve">P: ¿Cómo se toman las decisiones de endeudamiento?</w:t>
      </w:r>
    </w:p>
    <w:p>
      <w:pPr>
        <w:pStyle w:val="FirstParagraph"/>
      </w:pPr>
      <w:r>
        <w:rPr>
          <w:b/>
          <w:bCs/>
        </w:rPr>
        <w:t xml:space="preserve">Respuesta corta:</w:t>
      </w:r>
      <w:r>
        <w:t xml:space="preserve"> </w:t>
      </w:r>
      <w:r>
        <w:t xml:space="preserve">La Junta Directiva decide. El endeudamiento no es Reserved Matter en ninguna jurisdicción.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País</w:t>
            </w:r>
          </w:p>
        </w:tc>
        <w:tc>
          <w:tcPr/>
          <w:p>
            <w:pPr>
              <w:pStyle w:val="Compact"/>
            </w:pPr>
            <w:r>
              <w:t xml:space="preserve">Quién decide</w:t>
            </w:r>
          </w:p>
        </w:tc>
        <w:tc>
          <w:tcPr/>
          <w:p>
            <w:pPr>
              <w:pStyle w:val="Compact"/>
            </w:pPr>
            <w:r>
              <w:t xml:space="preserve">Límites internos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Panamá</w:t>
            </w:r>
          </w:p>
        </w:tc>
        <w:tc>
          <w:tcPr/>
          <w:p>
            <w:pPr>
              <w:pStyle w:val="Compact"/>
            </w:pPr>
            <w:r>
              <w:t xml:space="preserve">Junta Directiva</w:t>
            </w:r>
          </w:p>
        </w:tc>
        <w:tc>
          <w:tcPr/>
          <w:p>
            <w:pPr>
              <w:pStyle w:val="Compact"/>
            </w:pPr>
            <w:r>
              <w:t xml:space="preserve">Mayoría 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Manager (Seb Villamizar)</w:t>
            </w:r>
          </w:p>
        </w:tc>
        <w:tc>
          <w:tcPr/>
          <w:p>
            <w:pPr>
              <w:pStyle w:val="Compact"/>
            </w:pPr>
            <w:r>
              <w:t xml:space="preserve">Sin límite especial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Colombia</w:t>
            </w:r>
          </w:p>
        </w:tc>
        <w:tc>
          <w:tcPr/>
          <w:p>
            <w:pPr>
              <w:pStyle w:val="Compact"/>
            </w:pPr>
            <w:r>
              <w:t xml:space="preserve">Rep. Legal</w:t>
            </w:r>
          </w:p>
        </w:tc>
        <w:tc>
          <w:tcPr/>
          <w:p>
            <w:pPr>
              <w:pStyle w:val="Compact"/>
            </w:pPr>
            <w:r>
              <w:t xml:space="preserve">&gt;$125K USD requiere Asamblea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México</w:t>
            </w:r>
          </w:p>
        </w:tc>
        <w:tc>
          <w:tcPr/>
          <w:p>
            <w:pPr>
              <w:pStyle w:val="Compact"/>
            </w:pPr>
            <w:r>
              <w:t xml:space="preserve">Junta Directiva</w:t>
            </w:r>
          </w:p>
        </w:tc>
        <w:tc>
          <w:tcPr/>
          <w:p>
            <w:pPr>
              <w:pStyle w:val="Compact"/>
            </w:pPr>
            <w:r>
              <w:t xml:space="preserve">Mayoría 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Chile</w:t>
            </w:r>
          </w:p>
        </w:tc>
        <w:tc>
          <w:tcPr/>
          <w:p>
            <w:pPr>
              <w:pStyle w:val="Compact"/>
            </w:pPr>
            <w:r>
              <w:t xml:space="preserve">Junta Directiva</w:t>
            </w:r>
          </w:p>
        </w:tc>
        <w:tc>
          <w:tcPr/>
          <w:p>
            <w:pPr>
              <w:pStyle w:val="Compact"/>
            </w:pPr>
            <w:r>
              <w:t xml:space="preserve">Mayoría 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 Rica</w:t>
            </w:r>
          </w:p>
        </w:tc>
        <w:tc>
          <w:tcPr/>
          <w:p>
            <w:pPr>
              <w:pStyle w:val="Compact"/>
            </w:pPr>
            <w:r>
              <w:t xml:space="preserve">Junta Directiva</w:t>
            </w:r>
          </w:p>
        </w:tc>
        <w:tc>
          <w:tcPr/>
          <w:p>
            <w:pPr>
              <w:pStyle w:val="Compact"/>
            </w:pPr>
            <w:r>
              <w:t xml:space="preserve">Mayoría 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</w:pPr>
            <w:r>
              <w:t xml:space="preserve">Board of Directors</w:t>
            </w:r>
          </w:p>
        </w:tc>
        <w:tc>
          <w:tcPr/>
          <w:p>
            <w:pPr>
              <w:pStyle w:val="Compact"/>
            </w:pPr>
            <w:r>
              <w:t xml:space="preserve">Mayoría simple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 para inversionistas Serie A:</w:t>
      </w:r>
      <w:r>
        <w:t xml:space="preserve"> </w:t>
      </w:r>
      <w:r>
        <w:t xml:space="preserve">Si desean covenant de deuda, se puede agregar al SHA del Holding. Esto es negociable.</w:t>
      </w:r>
    </w:p>
    <w:bookmarkEnd w:id="16"/>
    <w:bookmarkStart w:id="17" w:name="X796f35ecc1b83cceb4153f6859c771229dce61b"/>
    <w:p>
      <w:pPr>
        <w:pStyle w:val="Heading3"/>
      </w:pPr>
      <w:r>
        <w:t xml:space="preserve">P: ¿Qué decisiones requieren mayoría calificada?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Panamá</w:t>
            </w:r>
          </w:p>
        </w:tc>
        <w:tc>
          <w:tcPr/>
          <w:p>
            <w:pPr>
              <w:pStyle w:val="Compact"/>
            </w:pPr>
            <w:r>
              <w:t xml:space="preserve">Costa Rica</w:t>
            </w:r>
          </w:p>
        </w:tc>
        <w:tc>
          <w:tcPr/>
          <w:p>
            <w:pPr>
              <w:pStyle w:val="Compact"/>
            </w:pPr>
            <w:r>
              <w:t xml:space="preserve">México</w:t>
            </w:r>
          </w:p>
        </w:tc>
        <w:tc>
          <w:tcPr/>
          <w:p>
            <w:pPr>
              <w:pStyle w:val="Compact"/>
            </w:pPr>
            <w:r>
              <w:t xml:space="preserve">Chile</w:t>
            </w:r>
          </w:p>
        </w:tc>
        <w:tc>
          <w:tcPr/>
          <w:p>
            <w:pPr>
              <w:pStyle w:val="Compact"/>
            </w:pPr>
            <w:r>
              <w:t xml:space="preserve">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Fusiones/escisiones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Modificar estatutos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 sustancial de activos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Disolución anticipada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 de giro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IPO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</w:tbl>
    <w:bookmarkEnd w:id="17"/>
    <w:bookmarkStart w:id="18" w:name="p-lcr-puede-vender-una-subsidiaria"/>
    <w:p>
      <w:pPr>
        <w:pStyle w:val="Heading3"/>
      </w:pPr>
      <w:r>
        <w:t xml:space="preserve">P: ¿LCR puede vender una subsidiaria?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País</w:t>
            </w:r>
          </w:p>
        </w:tc>
        <w:tc>
          <w:tcPr/>
          <w:p>
            <w:pPr>
              <w:pStyle w:val="Compact"/>
            </w:pPr>
            <w:r>
              <w:t xml:space="preserve">¿Puede LCR decidir solo?</w:t>
            </w:r>
          </w:p>
        </w:tc>
        <w:tc>
          <w:tcPr/>
          <w:p>
            <w:pPr>
              <w:pStyle w:val="Compac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t xml:space="preserve">100% propiedad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Colombia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t xml:space="preserve">100% propiedad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Chile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t xml:space="preserve">92.5% &gt; 86%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 Rica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t xml:space="preserve">74% &gt; 70%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México</w:t>
            </w:r>
          </w:p>
        </w:tc>
        <w:tc>
          <w:tcPr/>
          <w:p>
            <w:pPr>
              <w:pStyle w:val="Compact"/>
            </w:pPr>
            <w:r>
              <w:t xml:space="preserve">Requiere alineación</w:t>
            </w:r>
          </w:p>
        </w:tc>
        <w:tc>
          <w:tcPr/>
          <w:p>
            <w:pPr>
              <w:pStyle w:val="Compact"/>
            </w:pPr>
            <w:r>
              <w:t xml:space="preserve">75% vs 76% - diferencia técnica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</w:pPr>
            <w:r>
              <w:t xml:space="preserve">Requiere alineación</w:t>
            </w:r>
          </w:p>
        </w:tc>
        <w:tc>
          <w:tcPr/>
          <w:p>
            <w:pPr>
              <w:pStyle w:val="Compact"/>
            </w:pPr>
            <w:r>
              <w:t xml:space="preserve">Partnership operativo</w:t>
            </w:r>
          </w:p>
        </w:tc>
      </w:tr>
    </w:tbl>
    <w:bookmarkEnd w:id="18"/>
    <w:bookmarkStart w:id="19" w:name="p-qué-pasa-en-un-exit"/>
    <w:p>
      <w:pPr>
        <w:pStyle w:val="Heading3"/>
      </w:pPr>
      <w:r>
        <w:t xml:space="preserve">P: ¿Qué pasa en un exit?</w:t>
      </w:r>
    </w:p>
    <w:p>
      <w:pPr>
        <w:pStyle w:val="FirstParagraph"/>
      </w:pPr>
      <w:r>
        <w:rPr>
          <w:b/>
          <w:bCs/>
        </w:rPr>
        <w:t xml:space="preserve">Drag-Along Rights por país: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País</w:t>
            </w:r>
          </w:p>
        </w:tc>
        <w:tc>
          <w:tcPr/>
          <w:p>
            <w:pPr>
              <w:pStyle w:val="Compact"/>
            </w:pPr>
            <w:r>
              <w:t xml:space="preserve">Quién puede ejercer</w:t>
            </w:r>
          </w:p>
        </w:tc>
        <w:tc>
          <w:tcPr/>
          <w:p>
            <w:pPr>
              <w:pStyle w:val="Compact"/>
            </w:pPr>
            <w:r>
              <w:t xml:space="preserve">Condiciones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Panamá</w:t>
            </w:r>
          </w:p>
        </w:tc>
        <w:tc>
          <w:tcPr/>
          <w:p>
            <w:pPr>
              <w:pStyle w:val="Compact"/>
            </w:pPr>
            <w:r>
              <w:t xml:space="preserve">Arlen con 50%+1</w:t>
            </w:r>
          </w:p>
        </w:tc>
        <w:tc>
          <w:tcPr/>
          <w:p>
            <w:pPr>
              <w:pStyle w:val="Compact"/>
            </w:pPr>
            <w:r>
              <w:t xml:space="preserve">Strategic 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 Rica</w:t>
            </w:r>
          </w:p>
        </w:tc>
        <w:tc>
          <w:tcPr/>
          <w:p>
            <w:pPr>
              <w:pStyle w:val="Compact"/>
            </w:pPr>
            <w:r>
              <w:t xml:space="preserve">Libertario con 50%+1</w:t>
            </w:r>
          </w:p>
        </w:tc>
        <w:tc>
          <w:tcPr/>
          <w:p>
            <w:pPr>
              <w:pStyle w:val="Compact"/>
            </w:pPr>
            <w:r>
              <w:t xml:space="preserve">Después de 2 años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México</w:t>
            </w:r>
          </w:p>
        </w:tc>
        <w:tc>
          <w:tcPr/>
          <w:p>
            <w:pPr>
              <w:pStyle w:val="Compact"/>
            </w:pPr>
            <w:r>
              <w:t xml:space="preserve">Libertario con 50%+1</w:t>
            </w:r>
          </w:p>
        </w:tc>
        <w:tc>
          <w:tcPr/>
          <w:p>
            <w:pPr>
              <w:pStyle w:val="Compact"/>
            </w:pPr>
            <w:r>
              <w:t xml:space="preserve">Strategic 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Chile</w:t>
            </w:r>
          </w:p>
        </w:tc>
        <w:tc>
          <w:tcPr/>
          <w:p>
            <w:pPr>
              <w:pStyle w:val="Compact"/>
            </w:pPr>
            <w:r>
              <w:t xml:space="preserve">Libertario con 85%</w:t>
            </w:r>
          </w:p>
        </w:tc>
        <w:tc>
          <w:tcPr/>
          <w:p>
            <w:pPr>
              <w:pStyle w:val="Compact"/>
            </w:pPr>
            <w:r>
              <w:t xml:space="preserve">Strategic 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</w:pPr>
            <w:r>
              <w:t xml:space="preserve">Libertario con 55%</w:t>
            </w:r>
          </w:p>
        </w:tc>
        <w:tc>
          <w:tcPr/>
          <w:p>
            <w:pPr>
              <w:pStyle w:val="Compact"/>
            </w:pPr>
            <w:r>
              <w:t xml:space="preserve">Floor $20M, después de 5 años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En un exit, LCR puede forzar venta en todas las jurisdicciones, sujeto a condiciones razonables.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052dd01951993e880e555d32654d9ad6e45788d"/>
    <w:p>
      <w:pPr>
        <w:pStyle w:val="Heading2"/>
      </w:pPr>
      <w:r>
        <w:t xml:space="preserve">5. DERECHOS ESTÁNDAR - CONSISTENTES EN TODOS LOS SHA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Preemptive Rights:</w:t>
      </w:r>
      <w:r>
        <w:t xml:space="preserve"> </w:t>
      </w:r>
      <w:r>
        <w:t xml:space="preserve">7-10 días para ejercer en nueva emisión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ROFO:</w:t>
      </w:r>
      <w:r>
        <w:t xml:space="preserve"> </w:t>
      </w:r>
      <w:r>
        <w:t xml:space="preserve">10 días, con cierre en 90-120 días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Tag-Along:</w:t>
      </w:r>
      <w:r>
        <w:t xml:space="preserve"> </w:t>
      </w:r>
      <w:r>
        <w:t xml:space="preserve">Trigger al 50%+1, 15 días para ejercer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Arbitraje ICC:</w:t>
      </w:r>
      <w:r>
        <w:t xml:space="preserve"> </w:t>
      </w:r>
      <w:r>
        <w:t xml:space="preserve">Sede New York o Panamá, idioma inglés</w:t>
      </w:r>
    </w:p>
    <w:p>
      <w:pPr>
        <w:pStyle w:val="BodyText"/>
      </w:pPr>
      <w:r>
        <w:rPr>
          <w:b/>
          <w:bCs/>
        </w:rPr>
        <w:t xml:space="preserve">Fortaleza:</w:t>
      </w:r>
      <w:r>
        <w:t xml:space="preserve"> </w:t>
      </w:r>
      <w:r>
        <w:t xml:space="preserve">Los SHA son consistentes en términos clave, lo que demuestra disciplina corporativa.</w:t>
      </w:r>
    </w:p>
    <w:p>
      <w:r>
        <w:pict>
          <v:rect style="width:0;height:1.5pt" o:hralign="center" o:hrstd="t" o:hr="t"/>
        </w:pict>
      </w:r>
    </w:p>
    <w:bookmarkEnd w:id="21"/>
    <w:bookmarkStart w:id="27" w:name="oportunidades-de-mejora-para-serie-a"/>
    <w:p>
      <w:pPr>
        <w:pStyle w:val="Heading2"/>
      </w:pPr>
      <w:r>
        <w:t xml:space="preserve">6. OPORTUNIDADES DE MEJORA PARA SERIE A</w:t>
      </w:r>
    </w:p>
    <w:bookmarkStart w:id="22" w:name="unificación-de-términos-prioridad-media"/>
    <w:p>
      <w:pPr>
        <w:pStyle w:val="Heading3"/>
      </w:pPr>
      <w:r>
        <w:t xml:space="preserve">6.1 Unificación de Términos (Prioridad MEDIA)</w:t>
      </w:r>
    </w:p>
    <w:p>
      <w:pPr>
        <w:pStyle w:val="FirstParagraph"/>
      </w:pPr>
      <w:r>
        <w:rPr>
          <w:b/>
          <w:bCs/>
        </w:rPr>
        <w:t xml:space="preserve">Inconsistencia actual:</w:t>
      </w:r>
      <w:r>
        <w:t xml:space="preserve"> </w:t>
      </w:r>
      <w:r>
        <w:t xml:space="preserve">Las mayorías calificadas varían entre 70%, 76% y 86%.</w:t>
      </w:r>
    </w:p>
    <w:p>
      <w:pPr>
        <w:pStyle w:val="BodyText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- Estandarizar a</w:t>
      </w:r>
      <w:r>
        <w:t xml:space="preserve"> </w:t>
      </w:r>
      <w:r>
        <w:rPr>
          <w:b/>
          <w:bCs/>
        </w:rPr>
        <w:t xml:space="preserve">70%</w:t>
      </w:r>
      <w:r>
        <w:t xml:space="preserve"> </w:t>
      </w:r>
      <w:r>
        <w:t xml:space="preserve">en todos los SHA (excepto donde ley local requiera más)</w:t>
      </w:r>
      <w:r>
        <w:t xml:space="preserve"> </w:t>
      </w:r>
      <w:r>
        <w:t xml:space="preserve">- Esto simplifica la narrativa para inversionistas</w:t>
      </w:r>
      <w:r>
        <w:t xml:space="preserve"> </w:t>
      </w:r>
      <w:r>
        <w:t xml:space="preserve">- Chile (86%) es más restrictivo que lo necesario</w:t>
      </w:r>
    </w:p>
    <w:p>
      <w:pPr>
        <w:pStyle w:val="BodyText"/>
      </w:pPr>
      <w:r>
        <w:rPr>
          <w:b/>
          <w:bCs/>
        </w:rPr>
        <w:t xml:space="preserve">Acción para Ana María:</w:t>
      </w:r>
      <w:r>
        <w:t xml:space="preserve"> </w:t>
      </w:r>
      <w:r>
        <w:t xml:space="preserve">- Preparar enmienda al SHA de Chile bajando de 86% a 70%</w:t>
      </w:r>
      <w:r>
        <w:t xml:space="preserve"> </w:t>
      </w:r>
      <w:r>
        <w:t xml:space="preserve">- Revisar si México puede bajar de 76% a 75% (permitiendo control con participación actual)</w:t>
      </w:r>
      <w:r>
        <w:t xml:space="preserve"> </w:t>
      </w:r>
      <w:r>
        <w:t xml:space="preserve">- Ambos cambios requieren consentimiento de socios locales - abordar como</w:t>
      </w:r>
      <w:r>
        <w:t xml:space="preserve"> </w:t>
      </w:r>
      <w:r>
        <w:t xml:space="preserve">“limpieza corporativa”</w:t>
      </w:r>
    </w:p>
    <w:bookmarkEnd w:id="22"/>
    <w:bookmarkStart w:id="23" w:name="méxico---ajuste-técnico-prioridad-media"/>
    <w:p>
      <w:pPr>
        <w:pStyle w:val="Heading3"/>
      </w:pPr>
      <w:r>
        <w:t xml:space="preserve">6.2 México - Ajuste Técnico (Prioridad MEDIA)</w:t>
      </w:r>
    </w:p>
    <w:p>
      <w:pPr>
        <w:pStyle w:val="FirstParagraph"/>
      </w:pPr>
      <w:r>
        <w:rPr>
          <w:b/>
          <w:bCs/>
        </w:rPr>
        <w:t xml:space="preserve">Situación:</w:t>
      </w:r>
      <w:r>
        <w:t xml:space="preserve"> </w:t>
      </w:r>
      <w:r>
        <w:t xml:space="preserve">LCR tiene 75%, se requiere 76%.</w:t>
      </w:r>
    </w:p>
    <w:p>
      <w:pPr>
        <w:pStyle w:val="BodyText"/>
      </w:pPr>
      <w:r>
        <w:rPr>
          <w:b/>
          <w:bCs/>
        </w:rPr>
        <w:t xml:space="preserve">Opciones (en orden de preferencia):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Reducir mayoría calificada a 75%</w:t>
      </w:r>
      <w:r>
        <w:t xml:space="preserve"> </w:t>
      </w:r>
      <w:r>
        <w:t xml:space="preserve">- Requiere consentimiento de Masanamacaya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Comprar 1% adicional</w:t>
      </w:r>
      <w:r>
        <w:t xml:space="preserve"> </w:t>
      </w:r>
      <w:r>
        <w:t xml:space="preserve">- Requiere valuación y negociación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Mantener status quo</w:t>
      </w:r>
      <w:r>
        <w:t xml:space="preserve"> </w:t>
      </w:r>
      <w:r>
        <w:t xml:space="preserve">- Relación funciona bien actualmente</w:t>
      </w:r>
    </w:p>
    <w:p>
      <w:pPr>
        <w:pStyle w:val="FirstParagraph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Opción 1 es la más limpia. Presentar a Masanamacaya como</w:t>
      </w:r>
      <w:r>
        <w:t xml:space="preserve"> </w:t>
      </w:r>
      <w:r>
        <w:t xml:space="preserve">“actualización para alinearnos con estándares del grupo.”</w:t>
      </w:r>
    </w:p>
    <w:bookmarkEnd w:id="23"/>
    <w:bookmarkStart w:id="24" w:name="X6660418f1211437ab77805f22c965a417c7a6b3"/>
    <w:p>
      <w:pPr>
        <w:pStyle w:val="Heading3"/>
      </w:pPr>
      <w:r>
        <w:t xml:space="preserve">6.3 India - Sin Cambio Recomendado (Prioridad BAJA)</w:t>
      </w:r>
    </w:p>
    <w:p>
      <w:pPr>
        <w:pStyle w:val="FirstParagraph"/>
      </w:pPr>
      <w:r>
        <w:rPr>
          <w:b/>
          <w:bCs/>
        </w:rPr>
        <w:t xml:space="preserve">Contexto:</w:t>
      </w:r>
      <w:r>
        <w:t xml:space="preserve"> </w:t>
      </w:r>
      <w:r>
        <w:t xml:space="preserve">Miguel y equipo operan el negocio. Su participación del 45% refleja su contribución real.</w:t>
      </w:r>
    </w:p>
    <w:p>
      <w:pPr>
        <w:pStyle w:val="BodyText"/>
      </w:pPr>
      <w:r>
        <w:rPr>
          <w:b/>
          <w:bCs/>
        </w:rPr>
        <w:t xml:space="preserve">Recomendación:</w:t>
      </w:r>
      <w:r>
        <w:t xml:space="preserve"> </w:t>
      </w:r>
      <w:r>
        <w:t xml:space="preserve">- NO intentar cambiar estructura de control</w:t>
      </w:r>
      <w:r>
        <w:t xml:space="preserve"> </w:t>
      </w:r>
      <w:r>
        <w:t xml:space="preserve">- El SHA actual protege a ambas partes apropiadamente</w:t>
      </w:r>
      <w:r>
        <w:t xml:space="preserve"> </w:t>
      </w:r>
      <w:r>
        <w:t xml:space="preserve">- El lock-up de 5 años y floor de $20M son suficiente protección</w:t>
      </w:r>
    </w:p>
    <w:p>
      <w:pPr>
        <w:pStyle w:val="BodyText"/>
      </w:pPr>
      <w:r>
        <w:rPr>
          <w:b/>
          <w:bCs/>
        </w:rPr>
        <w:t xml:space="preserve">Narrativa para inversionistas:</w:t>
      </w:r>
      <w:r>
        <w:t xml:space="preserve"> </w:t>
      </w:r>
      <w:r>
        <w:t xml:space="preserve">“India es un partnership operativo con el equipo fundador local. La estructura refleja que ellos ejecutan el día a día con skin in the game significativo.”</w:t>
      </w:r>
    </w:p>
    <w:bookmarkEnd w:id="24"/>
    <w:bookmarkStart w:id="25" w:name="X0f474b731215c446114339997373cf5a3adf7fc"/>
    <w:p>
      <w:pPr>
        <w:pStyle w:val="Heading3"/>
      </w:pPr>
      <w:r>
        <w:t xml:space="preserve">6.4 Agregar Covenants Financieros al Holding (Prioridad ALTA)</w:t>
      </w:r>
    </w:p>
    <w:p>
      <w:pPr>
        <w:pStyle w:val="FirstParagraph"/>
      </w:pPr>
      <w:r>
        <w:rPr>
          <w:b/>
          <w:bCs/>
        </w:rPr>
        <w:t xml:space="preserve">Situación actual:</w:t>
      </w:r>
      <w:r>
        <w:t xml:space="preserve"> </w:t>
      </w:r>
      <w:r>
        <w:t xml:space="preserve">No hay límites de endeudamiento a nivel holding.</w:t>
      </w:r>
    </w:p>
    <w:p>
      <w:pPr>
        <w:pStyle w:val="BodyText"/>
      </w:pPr>
      <w:r>
        <w:rPr>
          <w:b/>
          <w:bCs/>
        </w:rPr>
        <w:t xml:space="preserve">Recomendación para Serie A:</w:t>
      </w:r>
      <w:r>
        <w:t xml:space="preserve"> </w:t>
      </w:r>
      <w:r>
        <w:t xml:space="preserve">- Agregar al SHA del Holding cláusulas de:</w:t>
      </w:r>
      <w:r>
        <w:t xml:space="preserve"> </w:t>
      </w:r>
      <w:r>
        <w:t xml:space="preserve">- Límite de deuda consolidada (ej: Deuda/EBITDA &lt; 3x)</w:t>
      </w:r>
      <w:r>
        <w:t xml:space="preserve"> </w:t>
      </w:r>
      <w:r>
        <w:t xml:space="preserve">- Aprobación de Board para deuda &gt; $X</w:t>
      </w:r>
      <w:r>
        <w:t xml:space="preserve"> </w:t>
      </w:r>
      <w:r>
        <w:t xml:space="preserve">- Reporting financiero trimestral obligatorio</w:t>
      </w:r>
    </w:p>
    <w:p>
      <w:pPr>
        <w:pStyle w:val="BodyText"/>
      </w:pPr>
      <w:r>
        <w:rPr>
          <w:b/>
          <w:bCs/>
        </w:rPr>
        <w:t xml:space="preserve">Beneficio:</w:t>
      </w:r>
      <w:r>
        <w:t xml:space="preserve"> </w:t>
      </w:r>
      <w:r>
        <w:t xml:space="preserve">Da comfort a inversionistas sin cambiar operación diaria.</w:t>
      </w:r>
    </w:p>
    <w:bookmarkEnd w:id="25"/>
    <w:bookmarkStart w:id="26" w:name="lock-ups-y-períodos-de-restricción"/>
    <w:p>
      <w:pPr>
        <w:pStyle w:val="Heading3"/>
      </w:pPr>
      <w:r>
        <w:t xml:space="preserve">6.5 Lock-ups y Períodos de Restricción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País</w:t>
            </w:r>
          </w:p>
        </w:tc>
        <w:tc>
          <w:tcPr/>
          <w:p>
            <w:pPr>
              <w:pStyle w:val="Compact"/>
            </w:pPr>
            <w:r>
              <w:t xml:space="preserve">Estado Actual</w:t>
            </w:r>
          </w:p>
        </w:tc>
        <w:tc>
          <w:tcPr/>
          <w:p>
            <w:pPr>
              <w:pStyle w:val="Compact"/>
            </w:pPr>
            <w:r>
              <w:t xml:space="preserve">Recomendación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Costa Rica</w:t>
            </w:r>
          </w:p>
        </w:tc>
        <w:tc>
          <w:tcPr/>
          <w:p>
            <w:pPr>
              <w:pStyle w:val="Compact"/>
            </w:pPr>
            <w:r>
              <w:t xml:space="preserve">Venció Mar 2025</w:t>
            </w:r>
          </w:p>
        </w:tc>
        <w:tc>
          <w:tcPr/>
          <w:p>
            <w:pPr>
              <w:pStyle w:val="Compact"/>
            </w:pPr>
            <w:r>
              <w:t xml:space="preserve">Monitorear si Oshala quiere vender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México</w:t>
            </w:r>
          </w:p>
        </w:tc>
        <w:tc>
          <w:tcPr/>
          <w:p>
            <w:pPr>
              <w:pStyle w:val="Compact"/>
            </w:pPr>
            <w:r>
              <w:t xml:space="preserve">Venció Ago 2024</w:t>
            </w:r>
          </w:p>
        </w:tc>
        <w:tc>
          <w:tcPr/>
          <w:p>
            <w:pPr>
              <w:pStyle w:val="Compact"/>
            </w:pPr>
            <w:r>
              <w:t xml:space="preserve">Sin acción - relación estable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Chile</w:t>
            </w:r>
          </w:p>
        </w:tc>
        <w:tc>
          <w:tcPr/>
          <w:p>
            <w:pPr>
              <w:pStyle w:val="Compact"/>
            </w:pPr>
            <w:r>
              <w:t xml:space="preserve">Vigente hasta Dic 2027</w:t>
            </w:r>
          </w:p>
        </w:tc>
        <w:tc>
          <w:tcPr/>
          <w:p>
            <w:pPr>
              <w:pStyle w:val="Compact"/>
            </w:pPr>
            <w:r>
              <w:t xml:space="preserve">Sin 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</w:pPr>
            <w:r>
              <w:t xml:space="preserve">Vigente hasta Jun 2030</w:t>
            </w:r>
          </w:p>
        </w:tc>
        <w:tc>
          <w:tcPr/>
          <w:p>
            <w:pPr>
              <w:pStyle w:val="Compact"/>
            </w:pPr>
            <w:r>
              <w:t xml:space="preserve">Sin acción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documentación-pendiente-para-data-room"/>
    <w:p>
      <w:pPr>
        <w:pStyle w:val="Heading2"/>
      </w:pPr>
      <w:r>
        <w:t xml:space="preserve">7. DOCUMENTACIÓN PENDIENTE PARA DATA ROOM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217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País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 tables actualizados y firmados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Crítico para due diligence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Actas de Asamblea 2024-2025</w:t>
            </w:r>
          </w:p>
        </w:tc>
        <w:tc>
          <w:tcPr/>
          <w:p>
            <w:pPr>
              <w:pStyle w:val="Compact"/>
            </w:pPr>
            <w:r>
              <w:t xml:space="preserve">Panamá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Demuestran gobernanza activa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Certificados de existencia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Vigencia &lt;6 meses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 standing certificates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Estándar para inversionistas 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X02ba1fb2a77a47938181ccdd8d73b198c9fe5fe"/>
    <w:p>
      <w:pPr>
        <w:pStyle w:val="Heading2"/>
      </w:pPr>
      <w:r>
        <w:t xml:space="preserve">8. RECOMENDACIONES CONSOLIDADAS PARA ANA MARÍA</w:t>
      </w:r>
    </w:p>
    <w:bookmarkStart w:id="29" w:name="corto-plazo-antes-de-term-sheet-serie-a"/>
    <w:p>
      <w:pPr>
        <w:pStyle w:val="Heading3"/>
      </w:pPr>
      <w:r>
        <w:t xml:space="preserve">Corto Plazo (Antes de Term Sheet Serie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810"/>
        <w:gridCol w:w="2489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Complejidad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Preparar cap tables actualizados de todas las entidades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Obtener certificados de existencia vigentes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Redactar propuesta de covenants financieros para Holding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Preparar FAQ legal para inversionistas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</w:tbl>
    <w:bookmarkEnd w:id="29"/>
    <w:bookmarkStart w:id="30" w:name="X91146fc5e4fd75f7d79362b03e394a43f278a0e"/>
    <w:p>
      <w:pPr>
        <w:pStyle w:val="Heading3"/>
      </w:pPr>
      <w:r>
        <w:t xml:space="preserve">Mediano Plazo (Durante Negociación Serie 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Complejidad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Negociar reducción mayoría Chile (86% → 70%)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Negociar reducción mayoría México (76% → 75%)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Formalizar política de endeudamiento grupo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</w:tbl>
    <w:bookmarkEnd w:id="30"/>
    <w:bookmarkStart w:id="31" w:name="acciones-no-recomendadas"/>
    <w:p>
      <w:pPr>
        <w:pStyle w:val="Heading3"/>
      </w:pPr>
      <w:r>
        <w:t xml:space="preserve">Acciones NO Recomendadas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Razón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Intentar aumentar control en India</w:t>
            </w:r>
          </w:p>
        </w:tc>
        <w:tc>
          <w:tcPr/>
          <w:p>
            <w:pPr>
              <w:pStyle w:val="Compact"/>
            </w:pPr>
            <w:r>
              <w:t xml:space="preserve">Socios son operadores clave, relación funciona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Agregar restricciones operativas a subsidiarias</w:t>
            </w:r>
          </w:p>
        </w:tc>
        <w:tc>
          <w:tcPr/>
          <w:p>
            <w:pPr>
              <w:pStyle w:val="Compact"/>
            </w:pPr>
            <w:r>
              <w:t xml:space="preserve">Genera fricción innecesaria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ley aplicable de SHA existentes</w:t>
            </w:r>
          </w:p>
        </w:tc>
        <w:tc>
          <w:tcPr/>
          <w:p>
            <w:pPr>
              <w:pStyle w:val="Compact"/>
            </w:pPr>
            <w:r>
              <w:t xml:space="preserve">Complejidad &gt; beneficio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narrativa-sugerida-para-inversionistas"/>
    <w:p>
      <w:pPr>
        <w:pStyle w:val="Heading2"/>
      </w:pPr>
      <w:r>
        <w:t xml:space="preserve">9. NARRATIVA SUGERIDA PARA INVERSIONISTAS</w:t>
      </w:r>
    </w:p>
    <w:p>
      <w:pPr>
        <w:pStyle w:val="BlockText"/>
      </w:pPr>
      <w:r>
        <w:t xml:space="preserve">“Libertario tiene una estructura corporativa clara y consistente en 7 jurisdicciones. En mercados clave como India y México, operamos con socios locales estratégicos que tienen skin in the game y conocimiento profundo del mercado. Esta estructura nos permite escalar con capital eficiente mientras mantenemos alineación de incentivos con operadores locales.”</w:t>
      </w:r>
    </w:p>
    <w:p>
      <w:pPr>
        <w:pStyle w:val="BlockText"/>
      </w:pPr>
      <w:r>
        <w:t xml:space="preserve">“Nuestros SHA incluyen protecciones estándar de mercado: preemptive rights, ROFO, tag-along y drag-along. Todas las disputas se resuelven mediante arbitraje ICC, proporcionando certeza legal internacional.”</w:t>
      </w:r>
    </w:p>
    <w:p>
      <w:pPr>
        <w:pStyle w:val="BlockText"/>
      </w:pPr>
      <w:r>
        <w:t xml:space="preserve">“Como parte de la Serie A, estamos abiertos a agregar covenants financieros razonables al nivel del holding para dar visibilidad y comfort adicional a los inversionistas.”</w:t>
      </w:r>
    </w:p>
    <w:p>
      <w:r>
        <w:pict>
          <v:rect style="width:0;height:1.5pt" o:hralign="center" o:hrstd="t" o:hr="t"/>
        </w:pict>
      </w:r>
    </w:p>
    <w:bookmarkEnd w:id="33"/>
    <w:bookmarkStart w:id="34" w:name="preguntas-para-discutir-con-ana-maría"/>
    <w:p>
      <w:pPr>
        <w:pStyle w:val="Heading2"/>
      </w:pPr>
      <w:r>
        <w:t xml:space="preserve">10. PREGUNTAS PARA DISCUTIR CON ANA MARÍA</w:t>
      </w:r>
    </w:p>
    <w:p>
      <w:pPr>
        <w:pStyle w:val="Compact"/>
        <w:numPr>
          <w:ilvl w:val="0"/>
          <w:numId w:val="1003"/>
        </w:numPr>
      </w:pPr>
      <w:r>
        <w:t xml:space="preserve">¿Crees factible negociar la reducción de mayoría en Chile/México como</w:t>
      </w:r>
      <w:r>
        <w:t xml:space="preserve"> </w:t>
      </w:r>
      <w:r>
        <w:t xml:space="preserve">“limpieza corporativa”</w:t>
      </w:r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¿Qué covenants financieros consideras razonables para proponer proactivamente?</w:t>
      </w:r>
    </w:p>
    <w:p>
      <w:pPr>
        <w:pStyle w:val="Compact"/>
        <w:numPr>
          <w:ilvl w:val="0"/>
          <w:numId w:val="1003"/>
        </w:numPr>
      </w:pPr>
      <w:r>
        <w:t xml:space="preserve">¿Hay algún tema en los SHA que debamos abordar antes de que inversionistas hagan due diligence?</w:t>
      </w:r>
    </w:p>
    <w:p>
      <w:pPr>
        <w:pStyle w:val="Compact"/>
        <w:numPr>
          <w:ilvl w:val="0"/>
          <w:numId w:val="1003"/>
        </w:numPr>
      </w:pPr>
      <w:r>
        <w:t xml:space="preserve">¿Tienes modelo de</w:t>
      </w:r>
      <w:r>
        <w:t xml:space="preserve"> </w:t>
      </w:r>
      <w:r>
        <w:t xml:space="preserve">“Board Observer Rights”</w:t>
      </w:r>
      <w:r>
        <w:t xml:space="preserve"> </w:t>
      </w:r>
      <w:r>
        <w:t xml:space="preserve">para ofrecer a inversionistas sin dar board seat?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interno - No compartir con terceros sin autorización</w:t>
      </w:r>
      <w:r>
        <w:t xml:space="preserve"> </w:t>
      </w:r>
      <w:r>
        <w:rPr>
          <w:i/>
          <w:iCs/>
        </w:rPr>
        <w:t xml:space="preserve">Preparado: 2026-02-02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2026-02-02T21:20:20Z</dcterms:created>
  <dcterms:modified xsi:type="dcterms:W3CDTF">2026-02-02T21:20:20Z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