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As autarquias locais são freguesias, municípios e regiões administrativas.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b.  Apesar de na CRP estar previsto não está a ser cumprido porque atualmente não existem regiões administrativas.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segundo a Pordata 90128 pessoas residem em mafra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  56376 pessoas residiam em mafra em 2001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3. 9203 estrangeiros residem em mafra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4. A principal razão foi a criação da A21 que possibilitou uma mais fácil locomoção até Mafra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984593" cy="71870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593" cy="7187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