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Parte-1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8 electrões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nuvem eletronica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 protões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a)</w:t>
        <w:tab/>
        <w:t xml:space="preserve">Na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b)</w:t>
        <w:tab/>
        <w:t xml:space="preserve">Nitrogénio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c)</w:t>
        <w:tab/>
        <w:t xml:space="preserve">He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d)</w:t>
        <w:tab/>
        <w:t xml:space="preserve">Potássio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e)</w:t>
        <w:tab/>
        <w:t xml:space="preserve">C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f)</w:t>
        <w:tab/>
        <w:t xml:space="preserve">Oxigénio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g)</w:t>
        <w:tab/>
        <w:t xml:space="preserve">Al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h)</w:t>
        <w:tab/>
        <w:t xml:space="preserve">Hidrogénio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i)</w:t>
        <w:tab/>
        <w:t xml:space="preserve">Cl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Parte-2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A)Eucariótica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B)Membrana plasmática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C)Citoplasma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D)Núcleo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E)Génes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F)Parece celular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G)Mitocôndria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II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1-2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2-B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Francisco Silva </w:t>
      <w:tab/>
      <w:tab/>
      <w:tab/>
      <w:t xml:space="preserve">Tarefa 2 </w:t>
      <w:tab/>
      <w:tab/>
      <w:tab/>
      <w:tab/>
      <w:t xml:space="preserve">Turma S15C</w:t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